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Influence of cluster structure to the mechanism of nuclear reactions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 Issatayev</w:t>
      </w:r>
      <w:r>
        <w:rPr>
          <w:sz w:val="28"/>
          <w:szCs w:val="28"/>
          <w:vertAlign w:val="superscript"/>
          <w:lang w:val="en-US"/>
        </w:rPr>
        <w:t>1,2,3</w:t>
      </w:r>
      <w:r>
        <w:rPr>
          <w:sz w:val="28"/>
          <w:szCs w:val="28"/>
          <w:lang w:val="en-US"/>
        </w:rPr>
        <w:t>, Yu.E. Penionzhkevich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S.M. Lukyanov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A. Azhibekov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V.A. Maslov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  A.V. Shakhov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K. Mendibayev</w:t>
      </w:r>
      <w:r>
        <w:rPr>
          <w:sz w:val="28"/>
          <w:szCs w:val="28"/>
          <w:vertAlign w:val="superscript"/>
          <w:lang w:val="en-US"/>
        </w:rPr>
        <w:t>1,2</w:t>
      </w:r>
      <w:r>
        <w:rPr>
          <w:sz w:val="28"/>
          <w:szCs w:val="28"/>
          <w:lang w:val="en-US"/>
        </w:rPr>
        <w:t xml:space="preserve"> ,  S.S. Stukalov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position w:val="0"/>
          <w:sz w:val="28"/>
          <w:sz w:val="28"/>
          <w:szCs w:val="28"/>
          <w:vertAlign w:val="baseline"/>
          <w:lang w:val="en-US"/>
        </w:rPr>
        <w:t>, Zh. Zeinulla</w:t>
      </w:r>
      <w:r>
        <w:rPr>
          <w:sz w:val="28"/>
          <w:szCs w:val="28"/>
          <w:vertAlign w:val="superscript"/>
          <w:lang w:val="en-US"/>
        </w:rPr>
        <w:t>1,2</w:t>
      </w:r>
      <w:r>
        <w:rPr>
          <w:position w:val="0"/>
          <w:sz w:val="28"/>
          <w:sz w:val="28"/>
          <w:szCs w:val="28"/>
          <w:vertAlign w:val="baseline"/>
          <w:lang w:val="en-US"/>
        </w:rPr>
        <w:t>, T. Zholdybayev</w:t>
      </w:r>
      <w:r>
        <w:rPr>
          <w:sz w:val="28"/>
          <w:szCs w:val="28"/>
          <w:vertAlign w:val="superscript"/>
          <w:lang w:val="en-US"/>
        </w:rPr>
        <w:t>2</w:t>
      </w:r>
    </w:p>
    <w:p>
      <w:pPr>
        <w:pStyle w:val="Normal"/>
        <w:widowControl w:val="false"/>
        <w:jc w:val="center"/>
        <w:rPr>
          <w:i/>
          <w:i/>
          <w:iCs/>
          <w:lang w:val="en-US"/>
        </w:rPr>
      </w:pPr>
      <w:r>
        <w:rPr>
          <w:i/>
          <w:iCs/>
          <w:vertAlign w:val="superscript"/>
          <w:lang w:val="en-US"/>
        </w:rPr>
        <w:t>1</w:t>
      </w:r>
      <w:r>
        <w:rPr>
          <w:i/>
          <w:iCs/>
          <w:lang w:val="en-US"/>
        </w:rPr>
        <w:t>Joint Institute for Nuclear Research, FLNR, Dubna, Russia</w:t>
      </w:r>
    </w:p>
    <w:p>
      <w:pPr>
        <w:pStyle w:val="Normal"/>
        <w:widowControl w:val="false"/>
        <w:jc w:val="center"/>
        <w:rPr>
          <w:i/>
          <w:i/>
          <w:iCs/>
          <w:lang w:val="en-US"/>
        </w:rPr>
      </w:pPr>
      <w:r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>Institute of Nuclear Physics, 050032 Almaty Kazakhstan</w:t>
      </w:r>
    </w:p>
    <w:p>
      <w:pPr>
        <w:pStyle w:val="Normal"/>
        <w:widowControl w:val="false"/>
        <w:jc w:val="center"/>
        <w:rPr>
          <w:i/>
          <w:i/>
          <w:iCs/>
          <w:lang w:val="en-US"/>
        </w:rPr>
      </w:pPr>
      <w:r>
        <w:rPr>
          <w:i/>
          <w:iCs/>
          <w:vertAlign w:val="superscript"/>
          <w:lang w:val="en-US"/>
        </w:rPr>
        <w:t>3</w:t>
      </w:r>
      <w:r>
        <w:rPr>
          <w:i/>
          <w:iCs/>
          <w:lang w:val="en-US"/>
        </w:rPr>
        <w:t xml:space="preserve">L.N. Gumilyov Eurasian National University, 010008 Nur-Sultan, Kazakhstan </w:t>
      </w:r>
    </w:p>
    <w:p>
      <w:pPr>
        <w:pStyle w:val="Normal"/>
        <w:widowControl w:val="false"/>
        <w:tabs>
          <w:tab w:val="clear" w:pos="708"/>
          <w:tab w:val="center" w:pos="4536" w:leader="none"/>
          <w:tab w:val="left" w:pos="6535" w:leader="none"/>
        </w:tabs>
        <w:rPr>
          <w:lang w:val="en-US"/>
        </w:rPr>
      </w:pPr>
      <w:r>
        <w:rPr>
          <w:lang w:val="en-US"/>
        </w:rPr>
        <w:tab/>
        <w:t>E-mail: talgat_136@mail.ru</w:t>
        <w:tab/>
      </w:r>
    </w:p>
    <w:p>
      <w:pPr>
        <w:pStyle w:val="Normal"/>
        <w:widowControl w:val="false"/>
        <w:tabs>
          <w:tab w:val="clear" w:pos="708"/>
          <w:tab w:val="center" w:pos="4536" w:leader="none"/>
          <w:tab w:val="left" w:pos="6535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tabs>
          <w:tab w:val="clear" w:pos="708"/>
          <w:tab w:val="left" w:pos="8017" w:leader="none"/>
        </w:tabs>
        <w:ind w:firstLine="340"/>
        <w:jc w:val="both"/>
        <w:rPr/>
      </w:pPr>
      <w:r>
        <w:rPr>
          <w:rFonts w:ascii="Liberation Serif" w:hAnsi="Liberation Serif"/>
          <w:sz w:val="28"/>
          <w:szCs w:val="28"/>
        </w:rPr>
        <w:t>In the interaction reactions of weakly bound cluster nuclei, the structure of these nuclei can manifest itself with a high probability. It is expressed in cross sections for these processes, in particular, in the multinucleon transfer reaction and the transfer reaction of individual clusters [1,2].</w:t>
      </w:r>
    </w:p>
    <w:p>
      <w:pPr>
        <w:pStyle w:val="Normal"/>
        <w:widowControl w:val="false"/>
        <w:tabs>
          <w:tab w:val="clear" w:pos="708"/>
          <w:tab w:val="left" w:pos="8017" w:leader="none"/>
        </w:tabs>
        <w:ind w:firstLine="3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In order to study the influence of the cluster structure on the mechanism of nuclear reactions, we studied the interaction reactions 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Li+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>Be,</w:t>
      </w:r>
      <w:r>
        <w:rPr>
          <w:rFonts w:ascii="Liberation Serif" w:hAnsi="Liberation Serif"/>
          <w:sz w:val="28"/>
          <w:szCs w:val="28"/>
          <w:vertAlign w:val="superscript"/>
        </w:rPr>
        <w:t>12</w:t>
      </w:r>
      <w:r>
        <w:rPr>
          <w:rFonts w:ascii="Liberation Serif" w:hAnsi="Liberation Serif"/>
          <w:sz w:val="28"/>
          <w:szCs w:val="28"/>
        </w:rPr>
        <w:t xml:space="preserve">C at an energy of 68 MeV. The experiment has been performed at the U-400M cyclotron, FLNR, JINR. The angular distributions of the products formed in these reactions were measured in the range of 10-120 º in the c.m system. The following reaction channels were studied: 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>Be(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Li,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Li)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 xml:space="preserve">Be, 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>Be(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Li,</w:t>
      </w:r>
      <w:r>
        <w:rPr>
          <w:rFonts w:ascii="Liberation Serif" w:hAnsi="Liberation Serif"/>
          <w:sz w:val="28"/>
          <w:szCs w:val="28"/>
          <w:vertAlign w:val="superscript"/>
        </w:rPr>
        <w:t>7</w:t>
      </w:r>
      <w:r>
        <w:rPr>
          <w:rFonts w:ascii="Liberation Serif" w:hAnsi="Liberation Serif"/>
          <w:sz w:val="28"/>
          <w:szCs w:val="28"/>
        </w:rPr>
        <w:t>Li)</w:t>
      </w:r>
      <w:r>
        <w:rPr>
          <w:rFonts w:ascii="Liberation Serif" w:hAnsi="Liberation Serif"/>
          <w:sz w:val="28"/>
          <w:szCs w:val="28"/>
          <w:vertAlign w:val="superscript"/>
        </w:rPr>
        <w:t>8</w:t>
      </w:r>
      <w:r>
        <w:rPr>
          <w:rFonts w:ascii="Liberation Serif" w:hAnsi="Liberation Serif"/>
          <w:sz w:val="28"/>
          <w:szCs w:val="28"/>
        </w:rPr>
        <w:t xml:space="preserve">Be, 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>Be(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Li,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He)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 xml:space="preserve">B, </w:t>
      </w:r>
      <w:r>
        <w:rPr>
          <w:rFonts w:ascii="Liberation Serif" w:hAnsi="Liberation Serif"/>
          <w:sz w:val="28"/>
          <w:szCs w:val="28"/>
          <w:vertAlign w:val="superscript"/>
        </w:rPr>
        <w:t>9</w:t>
      </w:r>
      <w:r>
        <w:rPr>
          <w:rFonts w:ascii="Liberation Serif" w:hAnsi="Liberation Serif"/>
          <w:sz w:val="28"/>
          <w:szCs w:val="28"/>
        </w:rPr>
        <w:t>Be(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 xml:space="preserve">Li, </w:t>
      </w:r>
      <w:r>
        <w:rPr>
          <w:rFonts w:ascii="Liberation Serif" w:hAnsi="Liberation Serif"/>
          <w:sz w:val="28"/>
          <w:szCs w:val="28"/>
          <w:vertAlign w:val="superscript"/>
        </w:rPr>
        <w:t>4</w:t>
      </w:r>
      <w:r>
        <w:rPr>
          <w:rFonts w:ascii="Liberation Serif" w:hAnsi="Liberation Serif"/>
          <w:sz w:val="28"/>
          <w:szCs w:val="28"/>
        </w:rPr>
        <w:t>He)</w:t>
      </w:r>
      <w:r>
        <w:rPr>
          <w:rFonts w:ascii="Liberation Serif" w:hAnsi="Liberation Serif"/>
          <w:sz w:val="28"/>
          <w:szCs w:val="28"/>
          <w:vertAlign w:val="superscript"/>
        </w:rPr>
        <w:t>11</w:t>
      </w:r>
      <w:r>
        <w:rPr>
          <w:rFonts w:ascii="Liberation Serif" w:hAnsi="Liberation Serif"/>
          <w:sz w:val="28"/>
          <w:szCs w:val="28"/>
        </w:rPr>
        <w:t xml:space="preserve">B, </w:t>
      </w:r>
      <w:r>
        <w:rPr>
          <w:rFonts w:ascii="Liberation Serif" w:hAnsi="Liberation Serif"/>
          <w:sz w:val="28"/>
          <w:szCs w:val="28"/>
          <w:vertAlign w:val="superscript"/>
        </w:rPr>
        <w:t>12</w:t>
      </w:r>
      <w:r>
        <w:rPr>
          <w:rFonts w:ascii="Liberation Serif" w:hAnsi="Liberation Serif"/>
          <w:sz w:val="28"/>
          <w:szCs w:val="28"/>
        </w:rPr>
        <w:t>C(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Li,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Li)</w:t>
      </w:r>
      <w:r>
        <w:rPr>
          <w:rFonts w:ascii="Liberation Serif" w:hAnsi="Liberation Serif"/>
          <w:sz w:val="28"/>
          <w:szCs w:val="28"/>
          <w:vertAlign w:val="superscript"/>
        </w:rPr>
        <w:t>12</w:t>
      </w:r>
      <w:r>
        <w:rPr>
          <w:rFonts w:ascii="Liberation Serif" w:hAnsi="Liberation Serif"/>
          <w:sz w:val="28"/>
          <w:szCs w:val="28"/>
        </w:rPr>
        <w:t xml:space="preserve">C, </w:t>
      </w:r>
      <w:r>
        <w:rPr>
          <w:rFonts w:ascii="Liberation Serif" w:hAnsi="Liberation Serif"/>
          <w:sz w:val="28"/>
          <w:szCs w:val="28"/>
          <w:vertAlign w:val="superscript"/>
        </w:rPr>
        <w:t>12</w:t>
      </w:r>
      <w:r>
        <w:rPr>
          <w:rFonts w:ascii="Liberation Serif" w:hAnsi="Liberation Serif"/>
          <w:sz w:val="28"/>
          <w:szCs w:val="28"/>
        </w:rPr>
        <w:t>C(</w:t>
      </w:r>
      <w:r>
        <w:rPr>
          <w:rFonts w:ascii="Liberation Serif" w:hAnsi="Liberation Serif"/>
          <w:sz w:val="28"/>
          <w:szCs w:val="28"/>
          <w:vertAlign w:val="superscript"/>
        </w:rPr>
        <w:t>6</w:t>
      </w:r>
      <w:r>
        <w:rPr>
          <w:rFonts w:ascii="Liberation Serif" w:hAnsi="Liberation Serif"/>
          <w:sz w:val="28"/>
          <w:szCs w:val="28"/>
        </w:rPr>
        <w:t>Li,</w:t>
      </w:r>
      <w:r>
        <w:rPr>
          <w:rFonts w:ascii="Liberation Serif" w:hAnsi="Liberation Serif"/>
          <w:sz w:val="28"/>
          <w:szCs w:val="28"/>
          <w:vertAlign w:val="superscript"/>
        </w:rPr>
        <w:t>7</w:t>
      </w:r>
      <w:r>
        <w:rPr>
          <w:rFonts w:ascii="Liberation Serif" w:hAnsi="Liberation Serif"/>
          <w:sz w:val="28"/>
          <w:szCs w:val="28"/>
        </w:rPr>
        <w:t>Be )</w:t>
      </w:r>
      <w:r>
        <w:rPr>
          <w:rFonts w:ascii="Liberation Serif" w:hAnsi="Liberation Serif"/>
          <w:sz w:val="28"/>
          <w:szCs w:val="28"/>
          <w:vertAlign w:val="superscript"/>
        </w:rPr>
        <w:t>11</w:t>
      </w:r>
      <w:r>
        <w:rPr>
          <w:rFonts w:ascii="Liberation Serif" w:hAnsi="Liberation Serif"/>
          <w:sz w:val="28"/>
          <w:szCs w:val="28"/>
        </w:rPr>
        <w:t>B in ground and excited states. The obtained experimental data were analyzed within the framework of the optical model and the DWBA method [3].</w:t>
      </w:r>
    </w:p>
    <w:p>
      <w:pPr>
        <w:pStyle w:val="Normal"/>
        <w:widowControl w:val="false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340" w:hanging="0"/>
        <w:jc w:val="both"/>
        <w:rPr>
          <w:lang w:val="en-US"/>
        </w:rPr>
      </w:pPr>
      <w:r>
        <w:rPr>
          <w:lang w:val="en-US"/>
        </w:rPr>
        <w:t>1. Yu E Penionzhkevich, R.G. Kalpakchieva, Light Exotic Nuclei Near the Boundary of      Neutron Stability, World Scientific Publishing Co Pte Ltd (2021)</w:t>
      </w:r>
    </w:p>
    <w:p>
      <w:pPr>
        <w:pStyle w:val="Normal"/>
        <w:widowControl w:val="false"/>
        <w:ind w:left="340" w:hanging="0"/>
        <w:jc w:val="both"/>
        <w:rPr>
          <w:lang w:val="en-US"/>
        </w:rPr>
      </w:pPr>
      <w:r>
        <w:rPr>
          <w:lang w:val="en-US"/>
        </w:rPr>
        <w:t>2. Yu E Penionzhkevich, et.al, Eur. Phys. J. A 31, 185-194 (2007)</w:t>
      </w:r>
    </w:p>
    <w:p>
      <w:pPr>
        <w:pStyle w:val="Normal"/>
        <w:widowControl w:val="false"/>
        <w:ind w:left="340" w:hanging="0"/>
        <w:jc w:val="both"/>
        <w:rPr>
          <w:lang w:val="en-US"/>
        </w:rPr>
      </w:pPr>
      <w:r>
        <w:rPr>
          <w:lang w:val="en-US"/>
        </w:rPr>
        <w:t>3. NRV web knowledge base on low-energy nuclear physics.http://nrv.jinr.ru/.</w:t>
      </w:r>
    </w:p>
    <w:p>
      <w:pPr>
        <w:pStyle w:val="Normal"/>
        <w:widowControl w:val="false"/>
        <w:ind w:left="34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jc w:val="center"/>
        <w:rPr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a51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061c2"/>
    <w:rPr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061c2"/>
    <w:rPr>
      <w:sz w:val="24"/>
      <w:lang w:val="ru-RU" w:eastAsia="ru-RU"/>
    </w:rPr>
  </w:style>
  <w:style w:type="paragraph" w:styleId="Heading" w:customStyle="1">
    <w:name w:val="Heading"/>
    <w:basedOn w:val="Normal"/>
    <w:next w:val="TextBody"/>
    <w:qFormat/>
    <w:rsid w:val="004a51a8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4a51a8"/>
    <w:pPr>
      <w:spacing w:lineRule="auto" w:line="276" w:before="0" w:after="140"/>
    </w:pPr>
    <w:rPr/>
  </w:style>
  <w:style w:type="paragraph" w:styleId="List">
    <w:name w:val="List"/>
    <w:basedOn w:val="TextBody"/>
    <w:rsid w:val="004a51a8"/>
    <w:pPr/>
    <w:rPr>
      <w:rFonts w:cs="Lohit Devanagari"/>
    </w:rPr>
  </w:style>
  <w:style w:type="paragraph" w:styleId="Caption" w:customStyle="1">
    <w:name w:val="Caption"/>
    <w:basedOn w:val="Normal"/>
    <w:qFormat/>
    <w:rsid w:val="004a51a8"/>
    <w:pPr>
      <w:suppressLineNumbers/>
      <w:spacing w:before="120" w:after="120"/>
    </w:pPr>
    <w:rPr>
      <w:rFonts w:cs="Lohit Devanagari"/>
      <w:i/>
      <w:iCs/>
    </w:rPr>
  </w:style>
  <w:style w:type="paragraph" w:styleId="Index" w:customStyle="1">
    <w:name w:val="Index"/>
    <w:basedOn w:val="Normal"/>
    <w:qFormat/>
    <w:rsid w:val="004a51a8"/>
    <w:pPr>
      <w:suppressLineNumbers/>
    </w:pPr>
    <w:rPr>
      <w:rFonts w:cs="Lohit Devanagari"/>
    </w:rPr>
  </w:style>
  <w:style w:type="paragraph" w:styleId="HeaderandFooter" w:customStyle="1">
    <w:name w:val="Header and Footer"/>
    <w:basedOn w:val="Normal"/>
    <w:qFormat/>
    <w:rsid w:val="004a51a8"/>
    <w:pPr/>
    <w:rPr/>
  </w:style>
  <w:style w:type="paragraph" w:styleId="Header" w:customStyle="1">
    <w:name w:val="Header"/>
    <w:basedOn w:val="Normal"/>
    <w:link w:val="HeaderChar"/>
    <w:uiPriority w:val="99"/>
    <w:unhideWhenUsed/>
    <w:rsid w:val="004061c2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Footer" w:customStyle="1">
    <w:name w:val="Footer"/>
    <w:basedOn w:val="Normal"/>
    <w:link w:val="FooterChar"/>
    <w:uiPriority w:val="99"/>
    <w:unhideWhenUsed/>
    <w:rsid w:val="004061c2"/>
    <w:pPr>
      <w:tabs>
        <w:tab w:val="clear" w:pos="708"/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LibreOffice/6.4.7.2$Linux_X86_64 LibreOffice_project/40$Build-2</Application>
  <Pages>1</Pages>
  <Words>242</Words>
  <Characters>1462</Characters>
  <CharactersWithSpaces>1704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2022-01-27T13:25:00Z</dcterms:created>
  <dc:creator/>
  <dc:description/>
  <dc:language>en-US</dc:language>
  <cp:lastModifiedBy/>
  <dcterms:modified xsi:type="dcterms:W3CDTF">2022-04-15T15:51:35Z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