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CB126" w14:textId="33C97222" w:rsidR="00C775A5" w:rsidRPr="00E5401A" w:rsidRDefault="0025388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color w:val="CB6D04"/>
          <w:sz w:val="32"/>
          <w:szCs w:val="34"/>
          <w:lang w:val="en-US"/>
        </w:rPr>
        <w:t xml:space="preserve"> </w:t>
      </w:r>
      <w:r w:rsidRPr="001B2D94">
        <w:rPr>
          <w:b/>
          <w:bCs/>
          <w:color w:val="CB6D04"/>
          <w:sz w:val="32"/>
          <w:szCs w:val="34"/>
          <w:lang w:val="en-US"/>
        </w:rPr>
        <w:t xml:space="preserve">SUPERNOVA NEUTRINO SPECTRA &amp; OBSERVATIONS BY LARGE VOLUME TELESCOPES 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32D54B46" w:rsidR="00077BC8" w:rsidRPr="00077BC8" w:rsidRDefault="004C2EAC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4C2EAC">
        <w:rPr>
          <w:sz w:val="28"/>
          <w:lang w:val="en-US"/>
        </w:rPr>
        <w:t xml:space="preserve"> </w:t>
      </w:r>
      <w:r w:rsidRPr="004C2EAC">
        <w:rPr>
          <w:sz w:val="28"/>
          <w:lang w:val="en-US"/>
        </w:rPr>
        <w:t>V.</w:t>
      </w:r>
      <w:r w:rsidRPr="004C2EAC">
        <w:rPr>
          <w:sz w:val="28"/>
          <w:lang w:val="en-US"/>
        </w:rPr>
        <w:t xml:space="preserve"> </w:t>
      </w:r>
      <w:r w:rsidRPr="004C2EAC">
        <w:rPr>
          <w:sz w:val="28"/>
          <w:lang w:val="en-US"/>
        </w:rPr>
        <w:t>N.</w:t>
      </w:r>
      <w:r w:rsidRPr="004C2EAC">
        <w:rPr>
          <w:sz w:val="28"/>
          <w:vertAlign w:val="superscript"/>
          <w:lang w:val="en-US"/>
        </w:rPr>
        <w:t xml:space="preserve"> </w:t>
      </w:r>
      <w:r w:rsidR="00D077E6" w:rsidRPr="004C2EAC">
        <w:rPr>
          <w:sz w:val="32"/>
          <w:szCs w:val="28"/>
          <w:lang w:val="en-US"/>
        </w:rPr>
        <w:t xml:space="preserve"> </w:t>
      </w:r>
      <w:proofErr w:type="spellStart"/>
      <w:r w:rsidRPr="004C2EAC">
        <w:rPr>
          <w:sz w:val="28"/>
          <w:lang w:val="en-US"/>
        </w:rPr>
        <w:t>Kondratyev</w:t>
      </w:r>
      <w:proofErr w:type="spellEnd"/>
      <w:r w:rsidRPr="002F4718">
        <w:rPr>
          <w:lang w:val="en-US"/>
        </w:rPr>
        <w:t xml:space="preserve"> 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 </w:t>
      </w:r>
    </w:p>
    <w:p w14:paraId="718CABD6" w14:textId="3F0E887D" w:rsidR="00C775A5" w:rsidRPr="00E5401A" w:rsidRDefault="00B248EC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B248EC">
        <w:rPr>
          <w:i/>
          <w:iCs/>
          <w:vertAlign w:val="superscript"/>
          <w:lang w:val="en-US"/>
        </w:rPr>
        <w:t xml:space="preserve"> </w:t>
      </w:r>
      <w:r w:rsidR="00077BC8">
        <w:rPr>
          <w:i/>
          <w:iCs/>
          <w:lang w:val="en-US"/>
        </w:rPr>
        <w:t xml:space="preserve"> </w:t>
      </w:r>
      <w:proofErr w:type="gramStart"/>
      <w:r w:rsidRPr="002F4718">
        <w:rPr>
          <w:i/>
          <w:iCs/>
          <w:vertAlign w:val="superscript"/>
          <w:lang w:val="en-US"/>
        </w:rPr>
        <w:t>1</w:t>
      </w:r>
      <w:proofErr w:type="gramEnd"/>
      <w:r w:rsidRPr="002F4718">
        <w:rPr>
          <w:i/>
          <w:iCs/>
          <w:lang w:val="en-US"/>
        </w:rPr>
        <w:t> </w:t>
      </w:r>
      <w:proofErr w:type="spellStart"/>
      <w:r w:rsidRPr="002F4718">
        <w:rPr>
          <w:i/>
          <w:iCs/>
          <w:lang w:val="en-US"/>
        </w:rPr>
        <w:t>Bogolubov</w:t>
      </w:r>
      <w:proofErr w:type="spellEnd"/>
      <w:r w:rsidRPr="002F4718">
        <w:rPr>
          <w:i/>
          <w:iCs/>
          <w:lang w:val="en-US"/>
        </w:rPr>
        <w:t xml:space="preserve"> Laboratory of Theoretical Physics, JINR, 141980-RU </w:t>
      </w:r>
      <w:proofErr w:type="spellStart"/>
      <w:r w:rsidRPr="002F4718">
        <w:rPr>
          <w:i/>
          <w:iCs/>
          <w:lang w:val="en-US"/>
        </w:rPr>
        <w:t>Dubna</w:t>
      </w:r>
      <w:proofErr w:type="spellEnd"/>
      <w:r w:rsidRPr="002F4718">
        <w:rPr>
          <w:i/>
          <w:iCs/>
          <w:lang w:val="en-US"/>
        </w:rPr>
        <w:t>, Russia</w:t>
      </w:r>
      <w:r>
        <w:rPr>
          <w:i/>
          <w:iCs/>
          <w:lang w:val="en-US"/>
        </w:rPr>
        <w:t xml:space="preserve"> </w:t>
      </w:r>
    </w:p>
    <w:p w14:paraId="3CA92542" w14:textId="2134D8D5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B248EC" w:rsidRPr="00B248EC">
        <w:rPr>
          <w:lang w:val="en-US"/>
        </w:rPr>
        <w:t>v</w:t>
      </w:r>
      <w:r w:rsidR="00B248EC">
        <w:rPr>
          <w:lang w:val="en-US"/>
        </w:rPr>
        <w:t>kondrat</w:t>
      </w:r>
      <w:r w:rsidR="00074B75" w:rsidRPr="00E5401A">
        <w:rPr>
          <w:lang w:val="en-US"/>
        </w:rPr>
        <w:t>@</w:t>
      </w:r>
      <w:r w:rsidR="00B248EC">
        <w:rPr>
          <w:lang w:val="en-US"/>
        </w:rPr>
        <w:t>jinr</w:t>
      </w:r>
      <w:r w:rsidR="00077BC8">
        <w:rPr>
          <w:lang w:val="en-US"/>
        </w:rPr>
        <w:t>.</w:t>
      </w:r>
      <w:r w:rsidR="00B248EC">
        <w:rPr>
          <w:lang w:val="en-US"/>
        </w:rPr>
        <w:t>ru</w:t>
      </w:r>
      <w:r>
        <w:rPr>
          <w:lang w:val="en-US"/>
        </w:rPr>
        <w:tab/>
      </w:r>
    </w:p>
    <w:p w14:paraId="400719D6" w14:textId="77777777" w:rsidR="009E098D" w:rsidRPr="00E5401A" w:rsidRDefault="009E098D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4EF3CA96" w14:textId="4B9500A2" w:rsidR="00C47E0A" w:rsidRDefault="007F15E5" w:rsidP="009E098D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The neutrino dynamics in hot and dense matter corresponding to supernova explosions is considered. The kinetic equation for a neutrino phase-space distribution function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is obtained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>, taking into account inelastic scattering by nuclear particles</w:t>
      </w:r>
      <w:r w:rsidR="00217719">
        <w:rPr>
          <w:color w:val="555555"/>
          <w:sz w:val="28"/>
          <w:szCs w:val="20"/>
          <w:shd w:val="clear" w:color="auto" w:fill="FFFFFF"/>
          <w:lang w:val="en-US"/>
        </w:rPr>
        <w:t xml:space="preserve"> [1]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. The transfer and diffusion components in an energy space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are argued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to dominate in the transport properties. It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is shown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that the energy transfer coefficient changes from positive to negative values when the neutrino energy exceeds four times the temperature. Effects in the neutrino dynamics and energy spectra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are discussed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>.</w:t>
      </w:r>
      <w:r w:rsidR="00274216">
        <w:rPr>
          <w:color w:val="555555"/>
          <w:sz w:val="28"/>
          <w:szCs w:val="20"/>
          <w:shd w:val="clear" w:color="auto" w:fill="FFFFFF"/>
          <w:lang w:val="en-US"/>
        </w:rPr>
        <w:t xml:space="preserve">  </w:t>
      </w:r>
      <w:r w:rsidR="00274216">
        <w:rPr>
          <w:color w:val="555555"/>
          <w:sz w:val="28"/>
          <w:szCs w:val="20"/>
          <w:shd w:val="clear" w:color="auto" w:fill="FFFFFF"/>
          <w:lang w:val="en-US"/>
        </w:rPr>
        <w:tab/>
        <w:t xml:space="preserve">  </w:t>
      </w:r>
      <w:r w:rsidRPr="006572BA">
        <w:rPr>
          <w:color w:val="555555"/>
          <w:sz w:val="28"/>
          <w:szCs w:val="20"/>
          <w:lang w:val="en-US"/>
        </w:rPr>
        <w:br/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Strongly variable transient supernova neutrino fluxes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can be detected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using Large-Volume Neutrino Telescopes: KM3NeT, Baikal-GVD, etc. Sensitivit</w:t>
      </w:r>
      <w:r w:rsidR="00B248EC">
        <w:rPr>
          <w:color w:val="555555"/>
          <w:sz w:val="28"/>
          <w:szCs w:val="20"/>
          <w:shd w:val="clear" w:color="auto" w:fill="FFFFFF"/>
          <w:lang w:val="en-US"/>
        </w:rPr>
        <w:t>y to neutrinos on a scale of 10</w:t>
      </w:r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MeV </w:t>
      </w:r>
      <w:proofErr w:type="gramStart"/>
      <w:r w:rsidRPr="006572BA">
        <w:rPr>
          <w:color w:val="555555"/>
          <w:sz w:val="28"/>
          <w:szCs w:val="20"/>
          <w:shd w:val="clear" w:color="auto" w:fill="FFFFFF"/>
          <w:lang w:val="en-US"/>
        </w:rPr>
        <w:t>can be achieved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by observing a collective increase in the rate </w:t>
      </w:r>
      <w:r w:rsidRPr="00217719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of counting coincidences using multiple detectors</w:t>
      </w:r>
      <w:r w:rsidR="00217719">
        <w:rPr>
          <w:color w:val="555555"/>
          <w:sz w:val="28"/>
          <w:szCs w:val="20"/>
          <w:shd w:val="clear" w:color="auto" w:fill="FFFFFF"/>
          <w:lang w:val="en-US"/>
        </w:rPr>
        <w:t xml:space="preserve"> [2]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. For multiple </w:t>
      </w:r>
      <w:r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k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coincidences the ratio signal/background is given by (1+ </w:t>
      </w:r>
      <w:proofErr w:type="spellStart"/>
      <w:r w:rsidR="00274216"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="00274216" w:rsidRP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SN</w:t>
      </w:r>
      <w:proofErr w:type="spellEnd"/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r w:rsidR="00B248EC">
        <w:rPr>
          <w:color w:val="555555"/>
          <w:sz w:val="28"/>
          <w:szCs w:val="20"/>
          <w:shd w:val="clear" w:color="auto" w:fill="FFFFFF"/>
          <w:lang w:val="en-US"/>
        </w:rPr>
        <w:t>/</w:t>
      </w:r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proofErr w:type="spellStart"/>
      <w:r w:rsidR="00274216"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B</w:t>
      </w:r>
      <w:proofErr w:type="spellEnd"/>
      <w:proofErr w:type="gramStart"/>
      <w:r w:rsidR="00274216">
        <w:rPr>
          <w:color w:val="555555"/>
          <w:sz w:val="28"/>
          <w:szCs w:val="20"/>
          <w:shd w:val="clear" w:color="auto" w:fill="FFFFFF"/>
          <w:lang w:val="en-US"/>
        </w:rPr>
        <w:t>)</w:t>
      </w:r>
      <w:r w:rsidRPr="00274216">
        <w:rPr>
          <w:i/>
          <w:color w:val="555555"/>
          <w:sz w:val="28"/>
          <w:szCs w:val="20"/>
          <w:shd w:val="clear" w:color="auto" w:fill="FFFFFF"/>
          <w:vertAlign w:val="superscript"/>
          <w:lang w:val="en-US"/>
        </w:rPr>
        <w:t>k</w:t>
      </w:r>
      <w:proofErr w:type="gramEnd"/>
      <m:oMath>
        <m:r>
          <m:rPr>
            <m:sty m:val="p"/>
          </m:rPr>
          <w:rPr>
            <w:rFonts w:ascii="Cambria Math" w:eastAsia="CMSY9" w:hAnsi="Cambria Math"/>
            <w:lang w:val="en-US"/>
          </w:rPr>
          <m:t> </m:t>
        </m:r>
        <m:r>
          <m:rPr>
            <m:sty m:val="p"/>
          </m:rPr>
          <w:rPr>
            <w:rFonts w:ascii="Cambria Math" w:eastAsia="CMSY9" w:hAnsi="Cambria Math"/>
            <w:lang w:val="en-US"/>
          </w:rPr>
          <m:t>≈</m:t>
        </m:r>
      </m:oMath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(1+ </w:t>
      </w:r>
      <w:r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k</w:t>
      </w:r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proofErr w:type="spellStart"/>
      <w:r w:rsidR="00274216"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="00274216" w:rsidRP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SN</w:t>
      </w:r>
      <w:proofErr w:type="spellEnd"/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r w:rsidR="00274216" w:rsidRPr="006572BA">
        <w:rPr>
          <w:color w:val="555555"/>
          <w:sz w:val="28"/>
          <w:szCs w:val="20"/>
          <w:shd w:val="clear" w:color="auto" w:fill="FFFFFF"/>
          <w:lang w:val="en-US"/>
        </w:rPr>
        <w:t>/</w:t>
      </w:r>
      <w:r w:rsidR="00B248EC" w:rsidRPr="00C73B92">
        <w:rPr>
          <w:sz w:val="20"/>
          <w:szCs w:val="20"/>
          <w:shd w:val="clear" w:color="auto" w:fill="FFFFFF"/>
          <w:lang w:val="en-US"/>
        </w:rPr>
        <w:t> </w:t>
      </w:r>
      <w:proofErr w:type="spellStart"/>
      <w:r w:rsidR="00274216"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B</w:t>
      </w:r>
      <w:proofErr w:type="spell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) with supernova and background detection rates </w:t>
      </w:r>
      <w:proofErr w:type="spellStart"/>
      <w:r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P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SN</w:t>
      </w:r>
      <w:proofErr w:type="spell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and</w:t>
      </w:r>
      <w:r w:rsidR="00274216"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</w:t>
      </w:r>
      <w:proofErr w:type="spellStart"/>
      <w:r w:rsidR="00274216"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r</w:t>
      </w:r>
      <w:r w:rsidR="00274216">
        <w:rPr>
          <w:color w:val="555555"/>
          <w:sz w:val="28"/>
          <w:szCs w:val="20"/>
          <w:shd w:val="clear" w:color="auto" w:fill="FFFFFF"/>
          <w:vertAlign w:val="subscript"/>
          <w:lang w:val="en-US"/>
        </w:rPr>
        <w:t>B</w:t>
      </w:r>
      <w:proofErr w:type="spell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. Evidently, the </w:t>
      </w:r>
      <w:r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k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–fold coincidence enhances </w:t>
      </w:r>
      <w:r w:rsidR="00217719">
        <w:rPr>
          <w:color w:val="555555"/>
          <w:sz w:val="28"/>
          <w:szCs w:val="20"/>
          <w:shd w:val="clear" w:color="auto" w:fill="FFFFFF"/>
          <w:lang w:val="en-US"/>
        </w:rPr>
        <w:t>the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</w:t>
      </w:r>
      <w:r w:rsidR="00217719">
        <w:rPr>
          <w:color w:val="555555"/>
          <w:sz w:val="28"/>
          <w:szCs w:val="20"/>
          <w:shd w:val="clear" w:color="auto" w:fill="FFFFFF"/>
          <w:lang w:val="en-US"/>
        </w:rPr>
        <w:t xml:space="preserve">detector 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sensitivity by a factor </w:t>
      </w:r>
      <w:proofErr w:type="gramStart"/>
      <w:r w:rsidRPr="00274216">
        <w:rPr>
          <w:i/>
          <w:color w:val="555555"/>
          <w:sz w:val="28"/>
          <w:szCs w:val="20"/>
          <w:shd w:val="clear" w:color="auto" w:fill="FFFFFF"/>
          <w:lang w:val="en-US"/>
        </w:rPr>
        <w:t>k</w:t>
      </w:r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.</w:t>
      </w:r>
      <w:proofErr w:type="gramEnd"/>
      <w:r w:rsidRPr="006572BA">
        <w:rPr>
          <w:color w:val="555555"/>
          <w:sz w:val="28"/>
          <w:szCs w:val="20"/>
          <w:shd w:val="clear" w:color="auto" w:fill="FFFFFF"/>
          <w:lang w:val="en-US"/>
        </w:rPr>
        <w:t xml:space="preserve"> The strengthening of neutrino hard energies is also favorable for supernova neutrino observations by Large Volume Telescopes.</w:t>
      </w:r>
    </w:p>
    <w:p w14:paraId="7A837960" w14:textId="77777777" w:rsidR="00D077E6" w:rsidRDefault="00D077E6" w:rsidP="00C575B6">
      <w:pPr>
        <w:widowControl w:val="0"/>
        <w:autoSpaceDE w:val="0"/>
        <w:autoSpaceDN w:val="0"/>
        <w:adjustRightInd w:val="0"/>
        <w:ind w:firstLine="34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20D463C5" w14:textId="380EF18A" w:rsidR="00D077E6" w:rsidRP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1. </w:t>
      </w:r>
      <w:r w:rsidR="00836B0B" w:rsidRPr="00836B0B">
        <w:rPr>
          <w:iCs/>
          <w:lang w:val="en-US"/>
        </w:rPr>
        <w:t>V.N.</w:t>
      </w:r>
      <w:r w:rsidRPr="00D077E6">
        <w:rPr>
          <w:lang w:val="en-US"/>
        </w:rPr>
        <w:t xml:space="preserve"> </w:t>
      </w:r>
      <w:proofErr w:type="spellStart"/>
      <w:r w:rsidR="00836B0B" w:rsidRPr="00836B0B">
        <w:rPr>
          <w:iCs/>
          <w:lang w:val="en-US"/>
        </w:rPr>
        <w:t>Kondratyev</w:t>
      </w:r>
      <w:proofErr w:type="spellEnd"/>
      <w:r w:rsidR="00836B0B" w:rsidRPr="00836B0B">
        <w:rPr>
          <w:iCs/>
          <w:lang w:val="en-US"/>
        </w:rPr>
        <w:t>, et al</w:t>
      </w:r>
      <w:r w:rsidRPr="00D077E6">
        <w:rPr>
          <w:lang w:val="en-US"/>
        </w:rPr>
        <w:t xml:space="preserve">, Phys. Rev. </w:t>
      </w:r>
      <w:r w:rsidR="00836B0B" w:rsidRPr="00836B0B">
        <w:rPr>
          <w:lang w:val="en-US"/>
        </w:rPr>
        <w:t>100, 045802</w:t>
      </w:r>
      <w:r w:rsidR="00836B0B">
        <w:rPr>
          <w:lang w:val="en-US"/>
        </w:rPr>
        <w:t xml:space="preserve"> </w:t>
      </w:r>
      <w:r w:rsidRPr="00D077E6">
        <w:rPr>
          <w:lang w:val="en-US"/>
        </w:rPr>
        <w:t>(</w:t>
      </w:r>
      <w:r w:rsidR="00836B0B">
        <w:rPr>
          <w:lang w:val="en-US"/>
        </w:rPr>
        <w:t>20</w:t>
      </w:r>
      <w:r w:rsidRPr="00D077E6">
        <w:rPr>
          <w:lang w:val="en-US"/>
        </w:rPr>
        <w:t>19).</w:t>
      </w:r>
    </w:p>
    <w:p w14:paraId="0F0434D7" w14:textId="0D4DB19A" w:rsidR="00D077E6" w:rsidRPr="00D077E6" w:rsidRDefault="00D077E6" w:rsidP="00D077E6">
      <w:pPr>
        <w:widowControl w:val="0"/>
        <w:autoSpaceDE w:val="0"/>
        <w:autoSpaceDN w:val="0"/>
        <w:adjustRightInd w:val="0"/>
        <w:ind w:left="340"/>
        <w:jc w:val="both"/>
        <w:rPr>
          <w:lang w:val="en-US"/>
        </w:rPr>
      </w:pPr>
      <w:r w:rsidRPr="00D077E6">
        <w:rPr>
          <w:lang w:val="en-US"/>
        </w:rPr>
        <w:t xml:space="preserve">2. </w:t>
      </w:r>
      <w:r w:rsidR="00836B0B" w:rsidRPr="00836B0B">
        <w:rPr>
          <w:iCs/>
          <w:lang w:val="en-US"/>
        </w:rPr>
        <w:t>V.N.</w:t>
      </w:r>
      <w:r w:rsidR="00836B0B" w:rsidRPr="00D077E6">
        <w:rPr>
          <w:lang w:val="en-US"/>
        </w:rPr>
        <w:t xml:space="preserve"> </w:t>
      </w:r>
      <w:proofErr w:type="spellStart"/>
      <w:r w:rsidR="00836B0B" w:rsidRPr="00836B0B">
        <w:rPr>
          <w:iCs/>
          <w:lang w:val="en-US"/>
        </w:rPr>
        <w:t>Kondratyev</w:t>
      </w:r>
      <w:proofErr w:type="spellEnd"/>
      <w:r w:rsidR="00836B0B" w:rsidRPr="00836B0B">
        <w:rPr>
          <w:iCs/>
          <w:lang w:val="en-US"/>
        </w:rPr>
        <w:t>, et al</w:t>
      </w:r>
      <w:r w:rsidR="00836B0B" w:rsidRPr="00D077E6">
        <w:rPr>
          <w:lang w:val="en-US"/>
        </w:rPr>
        <w:t>,</w:t>
      </w:r>
      <w:r w:rsidRPr="00D077E6">
        <w:rPr>
          <w:lang w:val="en-US"/>
        </w:rPr>
        <w:t xml:space="preserve"> P</w:t>
      </w:r>
      <w:r w:rsidR="00836B0B">
        <w:rPr>
          <w:lang w:val="en-US"/>
        </w:rPr>
        <w:t>articles</w:t>
      </w:r>
      <w:r w:rsidRPr="00D077E6">
        <w:rPr>
          <w:lang w:val="en-US"/>
        </w:rPr>
        <w:t xml:space="preserve"> 5, 1</w:t>
      </w:r>
      <w:r w:rsidR="0058463B">
        <w:rPr>
          <w:lang w:val="en-US"/>
        </w:rPr>
        <w:t>28</w:t>
      </w:r>
      <w:r w:rsidRPr="00D077E6">
        <w:rPr>
          <w:lang w:val="en-US"/>
        </w:rPr>
        <w:t xml:space="preserve"> (</w:t>
      </w:r>
      <w:r w:rsidR="0058463B">
        <w:rPr>
          <w:lang w:val="en-US"/>
        </w:rPr>
        <w:t>2022</w:t>
      </w:r>
      <w:r w:rsidRPr="00D077E6">
        <w:rPr>
          <w:lang w:val="en-US"/>
        </w:rPr>
        <w:t>).</w:t>
      </w:r>
    </w:p>
    <w:p w14:paraId="2F6BDF64" w14:textId="77777777" w:rsidR="00C775A5" w:rsidRPr="00E5401A" w:rsidRDefault="00C775A5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C775A5" w:rsidRPr="00E5401A" w:rsidSect="00C77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DF278" w14:textId="77777777" w:rsidR="001547B9" w:rsidRDefault="001547B9" w:rsidP="004061C2">
      <w:r>
        <w:separator/>
      </w:r>
    </w:p>
  </w:endnote>
  <w:endnote w:type="continuationSeparator" w:id="0">
    <w:p w14:paraId="0C509DFC" w14:textId="77777777" w:rsidR="001547B9" w:rsidRDefault="001547B9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MSY9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B06FB" w14:textId="77777777" w:rsidR="001547B9" w:rsidRDefault="001547B9" w:rsidP="004061C2">
      <w:r>
        <w:separator/>
      </w:r>
    </w:p>
  </w:footnote>
  <w:footnote w:type="continuationSeparator" w:id="0">
    <w:p w14:paraId="58DFF47D" w14:textId="77777777" w:rsidR="001547B9" w:rsidRDefault="001547B9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74B75"/>
    <w:rsid w:val="00077BC8"/>
    <w:rsid w:val="000A3381"/>
    <w:rsid w:val="001547B9"/>
    <w:rsid w:val="00161EF4"/>
    <w:rsid w:val="001A39D1"/>
    <w:rsid w:val="001A7891"/>
    <w:rsid w:val="001D482A"/>
    <w:rsid w:val="00217719"/>
    <w:rsid w:val="00253889"/>
    <w:rsid w:val="00274216"/>
    <w:rsid w:val="002A15E7"/>
    <w:rsid w:val="003468B3"/>
    <w:rsid w:val="003A4FBF"/>
    <w:rsid w:val="004061C2"/>
    <w:rsid w:val="00490684"/>
    <w:rsid w:val="004C2EAC"/>
    <w:rsid w:val="004E661F"/>
    <w:rsid w:val="00577E0A"/>
    <w:rsid w:val="0058463B"/>
    <w:rsid w:val="005A1D51"/>
    <w:rsid w:val="006B0359"/>
    <w:rsid w:val="007B3E28"/>
    <w:rsid w:val="007E7481"/>
    <w:rsid w:val="007F15E5"/>
    <w:rsid w:val="00836B0B"/>
    <w:rsid w:val="008F7BD7"/>
    <w:rsid w:val="009067A0"/>
    <w:rsid w:val="009E098D"/>
    <w:rsid w:val="009E4D25"/>
    <w:rsid w:val="009E5432"/>
    <w:rsid w:val="00A17B31"/>
    <w:rsid w:val="00A53DD2"/>
    <w:rsid w:val="00B248EC"/>
    <w:rsid w:val="00B4673C"/>
    <w:rsid w:val="00BE3BD5"/>
    <w:rsid w:val="00C47E0A"/>
    <w:rsid w:val="00C575B6"/>
    <w:rsid w:val="00C775A5"/>
    <w:rsid w:val="00CC7E21"/>
    <w:rsid w:val="00D077E6"/>
    <w:rsid w:val="00D9628D"/>
    <w:rsid w:val="00DD178D"/>
    <w:rsid w:val="00E13B3D"/>
    <w:rsid w:val="00E5401A"/>
    <w:rsid w:val="00E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2022-04-22T16:26:00Z</dcterms:created>
  <dcterms:modified xsi:type="dcterms:W3CDTF">2022-04-23T03:39:00Z</dcterms:modified>
</cp:coreProperties>
</file>