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CB126" w14:textId="3B6DD319" w:rsidR="00C775A5" w:rsidRPr="00E5401A" w:rsidRDefault="00D81FFF">
      <w:pPr>
        <w:widowControl w:val="0"/>
        <w:autoSpaceDE w:val="0"/>
        <w:autoSpaceDN w:val="0"/>
        <w:adjustRightInd w:val="0"/>
        <w:jc w:val="center"/>
        <w:rPr>
          <w:b/>
          <w:bCs/>
          <w:sz w:val="32"/>
          <w:szCs w:val="32"/>
          <w:lang w:val="en-US"/>
        </w:rPr>
      </w:pPr>
      <w:r>
        <w:rPr>
          <w:b/>
          <w:bCs/>
          <w:sz w:val="32"/>
          <w:szCs w:val="32"/>
          <w:lang w:val="en-US"/>
        </w:rPr>
        <w:t>SYLA – RUSSIAN 4TH GENERATION SYNCHROTRON</w:t>
      </w:r>
    </w:p>
    <w:p w14:paraId="6444C948" w14:textId="77777777" w:rsidR="00C775A5" w:rsidRPr="00E5401A" w:rsidRDefault="00C775A5">
      <w:pPr>
        <w:widowControl w:val="0"/>
        <w:autoSpaceDE w:val="0"/>
        <w:autoSpaceDN w:val="0"/>
        <w:adjustRightInd w:val="0"/>
        <w:jc w:val="center"/>
        <w:rPr>
          <w:lang w:val="en-US"/>
        </w:rPr>
      </w:pPr>
    </w:p>
    <w:p w14:paraId="3DEABE20" w14:textId="3B0BEB9D" w:rsidR="00077BC8" w:rsidRPr="00077BC8" w:rsidRDefault="00D81FFF" w:rsidP="00077BC8">
      <w:pPr>
        <w:widowControl w:val="0"/>
        <w:autoSpaceDE w:val="0"/>
        <w:autoSpaceDN w:val="0"/>
        <w:adjustRightInd w:val="0"/>
        <w:jc w:val="center"/>
        <w:rPr>
          <w:sz w:val="28"/>
          <w:szCs w:val="28"/>
          <w:lang w:val="en-US"/>
        </w:rPr>
      </w:pPr>
      <w:r>
        <w:rPr>
          <w:sz w:val="28"/>
          <w:szCs w:val="28"/>
          <w:lang w:val="en-US"/>
        </w:rPr>
        <w:t>V. S</w:t>
      </w:r>
      <w:r w:rsidR="00D077E6">
        <w:rPr>
          <w:sz w:val="28"/>
          <w:szCs w:val="28"/>
          <w:lang w:val="en-US"/>
        </w:rPr>
        <w:t xml:space="preserve">. </w:t>
      </w:r>
      <w:r>
        <w:rPr>
          <w:sz w:val="28"/>
          <w:szCs w:val="28"/>
          <w:lang w:val="en-US"/>
        </w:rPr>
        <w:t>Dyubkov</w:t>
      </w:r>
      <w:r w:rsidR="000A3381" w:rsidRPr="00E5401A">
        <w:rPr>
          <w:sz w:val="28"/>
          <w:szCs w:val="28"/>
          <w:vertAlign w:val="superscript"/>
          <w:lang w:val="en-US"/>
        </w:rPr>
        <w:t>1</w:t>
      </w:r>
      <w:proofErr w:type="gramStart"/>
      <w:r>
        <w:rPr>
          <w:sz w:val="28"/>
          <w:szCs w:val="28"/>
          <w:vertAlign w:val="superscript"/>
          <w:lang w:val="en-US"/>
        </w:rPr>
        <w:t>,3</w:t>
      </w:r>
      <w:proofErr w:type="gramEnd"/>
      <w:r w:rsidR="00C775A5" w:rsidRPr="00E5401A">
        <w:rPr>
          <w:sz w:val="28"/>
          <w:szCs w:val="28"/>
          <w:lang w:val="en-US"/>
        </w:rPr>
        <w:t xml:space="preserve">, </w:t>
      </w:r>
      <w:r>
        <w:rPr>
          <w:sz w:val="28"/>
          <w:szCs w:val="28"/>
          <w:lang w:val="en-US"/>
        </w:rPr>
        <w:t>S</w:t>
      </w:r>
      <w:r w:rsidR="00D077E6">
        <w:rPr>
          <w:sz w:val="28"/>
          <w:szCs w:val="28"/>
          <w:lang w:val="en-US"/>
        </w:rPr>
        <w:t>.</w:t>
      </w:r>
      <w:r>
        <w:rPr>
          <w:sz w:val="28"/>
          <w:szCs w:val="28"/>
          <w:lang w:val="en-US"/>
        </w:rPr>
        <w:t xml:space="preserve"> M. Polozov</w:t>
      </w:r>
      <w:r w:rsidRPr="00E5401A">
        <w:rPr>
          <w:sz w:val="28"/>
          <w:szCs w:val="28"/>
          <w:vertAlign w:val="superscript"/>
          <w:lang w:val="en-US"/>
        </w:rPr>
        <w:t>1</w:t>
      </w:r>
      <w:r>
        <w:rPr>
          <w:sz w:val="28"/>
          <w:szCs w:val="28"/>
          <w:vertAlign w:val="superscript"/>
          <w:lang w:val="en-US"/>
        </w:rPr>
        <w:t>,3</w:t>
      </w:r>
      <w:r>
        <w:rPr>
          <w:sz w:val="28"/>
          <w:szCs w:val="28"/>
          <w:lang w:val="en-US"/>
        </w:rPr>
        <w:t>, E. D. Tsyplakov</w:t>
      </w:r>
      <w:r w:rsidRPr="00077BC8">
        <w:rPr>
          <w:sz w:val="28"/>
          <w:szCs w:val="28"/>
          <w:vertAlign w:val="superscript"/>
          <w:lang w:val="en-US"/>
        </w:rPr>
        <w:t>2</w:t>
      </w:r>
      <w:r>
        <w:rPr>
          <w:sz w:val="28"/>
          <w:szCs w:val="28"/>
          <w:vertAlign w:val="superscript"/>
          <w:lang w:val="en-US"/>
        </w:rPr>
        <w:t>,3</w:t>
      </w:r>
    </w:p>
    <w:p w14:paraId="718CABD6" w14:textId="5093F50B" w:rsidR="00C775A5" w:rsidRPr="00AB3855" w:rsidRDefault="00153888">
      <w:pPr>
        <w:widowControl w:val="0"/>
        <w:autoSpaceDE w:val="0"/>
        <w:autoSpaceDN w:val="0"/>
        <w:adjustRightInd w:val="0"/>
        <w:jc w:val="center"/>
        <w:rPr>
          <w:i/>
          <w:iCs/>
          <w:lang w:val="en-US"/>
        </w:rPr>
      </w:pPr>
      <w:r>
        <w:rPr>
          <w:i/>
          <w:vertAlign w:val="superscript"/>
          <w:lang w:val="en-US"/>
        </w:rPr>
        <w:t>1</w:t>
      </w:r>
      <w:r w:rsidR="00AB3855" w:rsidRPr="00AB3855">
        <w:rPr>
          <w:i/>
          <w:lang w:val="en-US"/>
        </w:rPr>
        <w:t xml:space="preserve">National Research Nuclear University </w:t>
      </w:r>
      <w:proofErr w:type="spellStart"/>
      <w:r w:rsidR="00AB3855" w:rsidRPr="00AB3855">
        <w:rPr>
          <w:i/>
          <w:lang w:val="en-US"/>
        </w:rPr>
        <w:t>MEPhI</w:t>
      </w:r>
      <w:proofErr w:type="spellEnd"/>
      <w:r w:rsidR="00AB3855" w:rsidRPr="00AB3855">
        <w:rPr>
          <w:i/>
          <w:lang w:val="en-US"/>
        </w:rPr>
        <w:t xml:space="preserve"> (Moscow Engineering Physics Institute), Moscow, Russia</w:t>
      </w:r>
      <w:r w:rsidR="00C775A5" w:rsidRPr="00E5401A">
        <w:rPr>
          <w:i/>
          <w:iCs/>
          <w:lang w:val="en-US"/>
        </w:rPr>
        <w:t xml:space="preserve">; </w:t>
      </w:r>
      <w:r w:rsidR="00C775A5" w:rsidRPr="00E5401A">
        <w:rPr>
          <w:i/>
          <w:iCs/>
          <w:vertAlign w:val="superscript"/>
          <w:lang w:val="en-US"/>
        </w:rPr>
        <w:t>2</w:t>
      </w:r>
      <w:r w:rsidR="00AB3855" w:rsidRPr="00AB3855">
        <w:rPr>
          <w:bCs/>
          <w:i/>
          <w:color w:val="222222"/>
          <w:shd w:val="clear" w:color="auto" w:fill="FFFFFF"/>
          <w:lang w:val="en-US"/>
        </w:rPr>
        <w:t xml:space="preserve">Moscow Institute of Physics and Technology, </w:t>
      </w:r>
      <w:r w:rsidR="00AB3855" w:rsidRPr="00AB3855">
        <w:rPr>
          <w:i/>
          <w:lang w:val="en-US"/>
        </w:rPr>
        <w:t>Moscow, Russia</w:t>
      </w:r>
      <w:r w:rsidR="00077BC8">
        <w:rPr>
          <w:i/>
          <w:iCs/>
          <w:lang w:val="en-US"/>
        </w:rPr>
        <w:t xml:space="preserve">; </w:t>
      </w:r>
      <w:r w:rsidR="00C775A5" w:rsidRPr="00E5401A">
        <w:rPr>
          <w:i/>
          <w:iCs/>
          <w:vertAlign w:val="superscript"/>
          <w:lang w:val="en-US"/>
        </w:rPr>
        <w:t>3</w:t>
      </w:r>
      <w:bookmarkStart w:id="0" w:name="_GoBack"/>
      <w:bookmarkEnd w:id="0"/>
      <w:r w:rsidR="00AB3855" w:rsidRPr="00AB3855">
        <w:rPr>
          <w:bCs/>
          <w:i/>
          <w:color w:val="222222"/>
          <w:shd w:val="clear" w:color="auto" w:fill="FFFFFF"/>
          <w:lang w:val="en-US"/>
        </w:rPr>
        <w:t>National Research Center «</w:t>
      </w:r>
      <w:proofErr w:type="spellStart"/>
      <w:r w:rsidR="00AB3855" w:rsidRPr="00AB3855">
        <w:rPr>
          <w:bCs/>
          <w:i/>
          <w:color w:val="222222"/>
          <w:shd w:val="clear" w:color="auto" w:fill="FFFFFF"/>
          <w:lang w:val="en-US"/>
        </w:rPr>
        <w:t>Kurchatov</w:t>
      </w:r>
      <w:proofErr w:type="spellEnd"/>
      <w:r w:rsidR="00AB3855" w:rsidRPr="00AB3855">
        <w:rPr>
          <w:bCs/>
          <w:i/>
          <w:color w:val="222222"/>
          <w:shd w:val="clear" w:color="auto" w:fill="FFFFFF"/>
          <w:lang w:val="en-US"/>
        </w:rPr>
        <w:t xml:space="preserve"> Institute», </w:t>
      </w:r>
      <w:r w:rsidR="00AB3855" w:rsidRPr="00AB3855">
        <w:rPr>
          <w:i/>
          <w:lang w:val="en-US"/>
        </w:rPr>
        <w:t>Moscow, Russia</w:t>
      </w:r>
    </w:p>
    <w:p w14:paraId="3CA92542" w14:textId="6E3336C6"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D81FFF">
        <w:rPr>
          <w:lang w:val="en-US"/>
        </w:rPr>
        <w:t>vsdyubkov</w:t>
      </w:r>
      <w:r w:rsidR="00074B75" w:rsidRPr="00E5401A">
        <w:rPr>
          <w:lang w:val="en-US"/>
        </w:rPr>
        <w:t>@</w:t>
      </w:r>
      <w:r w:rsidR="00D81FFF">
        <w:rPr>
          <w:lang w:val="en-US"/>
        </w:rPr>
        <w:t>mephi</w:t>
      </w:r>
      <w:r w:rsidR="00077BC8">
        <w:rPr>
          <w:lang w:val="en-US"/>
        </w:rPr>
        <w:t>.</w:t>
      </w:r>
      <w:r w:rsidR="00D81FFF">
        <w:rPr>
          <w:lang w:val="en-US"/>
        </w:rPr>
        <w:t>ru</w:t>
      </w:r>
    </w:p>
    <w:p w14:paraId="400719D6" w14:textId="77777777" w:rsidR="009E098D" w:rsidRPr="00E5401A" w:rsidRDefault="009E098D" w:rsidP="009E098D">
      <w:pPr>
        <w:widowControl w:val="0"/>
        <w:autoSpaceDE w:val="0"/>
        <w:autoSpaceDN w:val="0"/>
        <w:adjustRightInd w:val="0"/>
        <w:jc w:val="center"/>
        <w:rPr>
          <w:lang w:val="en-US"/>
        </w:rPr>
      </w:pPr>
    </w:p>
    <w:p w14:paraId="6B76FDCE" w14:textId="602990FE" w:rsidR="00077BC8" w:rsidRPr="00437955" w:rsidRDefault="00622E53" w:rsidP="009E098D">
      <w:pPr>
        <w:widowControl w:val="0"/>
        <w:autoSpaceDE w:val="0"/>
        <w:autoSpaceDN w:val="0"/>
        <w:adjustRightInd w:val="0"/>
        <w:ind w:firstLine="340"/>
        <w:jc w:val="both"/>
        <w:rPr>
          <w:sz w:val="28"/>
          <w:szCs w:val="28"/>
          <w:lang w:val="en-US"/>
        </w:rPr>
      </w:pPr>
      <w:r w:rsidRPr="00437955">
        <w:rPr>
          <w:sz w:val="28"/>
          <w:szCs w:val="28"/>
          <w:lang w:val="en-US"/>
        </w:rPr>
        <w:t xml:space="preserve">For more than 40 years synchrotron-based x-ray sources as well as free-electron lasers based on linear accelerators have been widely used in materials science, spectroscopy, crystallography, research of fast processes, medicine, molecular biology and biochemistry, medicine, and other applied and scientific tasks. Nowadays state-of-art technologies make it possible to design and develop specialized synchrotron that </w:t>
      </w:r>
      <w:proofErr w:type="gramStart"/>
      <w:r w:rsidRPr="00437955">
        <w:rPr>
          <w:sz w:val="28"/>
          <w:szCs w:val="28"/>
          <w:lang w:val="en-US"/>
        </w:rPr>
        <w:t>is especially aimed</w:t>
      </w:r>
      <w:proofErr w:type="gramEnd"/>
      <w:r w:rsidRPr="00437955">
        <w:rPr>
          <w:sz w:val="28"/>
          <w:szCs w:val="28"/>
          <w:lang w:val="en-US"/>
        </w:rPr>
        <w:t xml:space="preserve"> to generate SR by means of insertion devises, such as </w:t>
      </w:r>
      <w:proofErr w:type="spellStart"/>
      <w:r w:rsidRPr="00437955">
        <w:rPr>
          <w:sz w:val="28"/>
          <w:szCs w:val="28"/>
          <w:lang w:val="en-US"/>
        </w:rPr>
        <w:t>ondulators</w:t>
      </w:r>
      <w:proofErr w:type="spellEnd"/>
      <w:r w:rsidRPr="00437955">
        <w:rPr>
          <w:sz w:val="28"/>
          <w:szCs w:val="28"/>
          <w:lang w:val="en-US"/>
        </w:rPr>
        <w:t xml:space="preserve"> </w:t>
      </w:r>
      <w:r w:rsidR="009D1FE7">
        <w:rPr>
          <w:sz w:val="28"/>
          <w:szCs w:val="28"/>
          <w:lang w:val="en-US"/>
        </w:rPr>
        <w:t>or</w:t>
      </w:r>
      <w:r w:rsidR="009D1FE7" w:rsidRPr="00437955">
        <w:rPr>
          <w:sz w:val="28"/>
          <w:szCs w:val="28"/>
          <w:lang w:val="en-US"/>
        </w:rPr>
        <w:t xml:space="preserve"> </w:t>
      </w:r>
      <w:r w:rsidRPr="00437955">
        <w:rPr>
          <w:sz w:val="28"/>
          <w:szCs w:val="28"/>
          <w:lang w:val="en-US"/>
        </w:rPr>
        <w:t xml:space="preserve">wigglers. Such specialized circular electron accelerators have been called SR sources of the 4th generation. Currently, there are already several operating [1-3] and a number of such specialized SR sources are under design [4-6]. </w:t>
      </w:r>
      <w:r w:rsidR="009D1FE7">
        <w:rPr>
          <w:sz w:val="28"/>
          <w:szCs w:val="28"/>
          <w:lang w:val="en-US"/>
        </w:rPr>
        <w:t>A number of 3</w:t>
      </w:r>
      <w:r w:rsidR="009D1FE7" w:rsidRPr="00AB2CC7">
        <w:rPr>
          <w:sz w:val="28"/>
          <w:szCs w:val="28"/>
          <w:vertAlign w:val="superscript"/>
          <w:lang w:val="en-US"/>
        </w:rPr>
        <w:t>rd</w:t>
      </w:r>
      <w:r w:rsidR="009D1FE7">
        <w:rPr>
          <w:sz w:val="28"/>
          <w:szCs w:val="28"/>
          <w:lang w:val="en-US"/>
        </w:rPr>
        <w:t xml:space="preserve"> generation light sources are under modernization up to 4</w:t>
      </w:r>
      <w:r w:rsidR="009D1FE7" w:rsidRPr="00AB2CC7">
        <w:rPr>
          <w:sz w:val="28"/>
          <w:szCs w:val="28"/>
          <w:vertAlign w:val="superscript"/>
          <w:lang w:val="en-US"/>
        </w:rPr>
        <w:t>th</w:t>
      </w:r>
      <w:r w:rsidR="009D1FE7">
        <w:rPr>
          <w:sz w:val="28"/>
          <w:szCs w:val="28"/>
          <w:lang w:val="en-US"/>
        </w:rPr>
        <w:t xml:space="preserve"> generation </w:t>
      </w:r>
      <w:proofErr w:type="spellStart"/>
      <w:r w:rsidR="009D1FE7">
        <w:rPr>
          <w:sz w:val="28"/>
          <w:szCs w:val="28"/>
          <w:lang w:val="en-US"/>
        </w:rPr>
        <w:t>nowdaus</w:t>
      </w:r>
      <w:proofErr w:type="spellEnd"/>
      <w:r w:rsidR="009D1FE7">
        <w:rPr>
          <w:sz w:val="28"/>
          <w:szCs w:val="28"/>
          <w:lang w:val="en-US"/>
        </w:rPr>
        <w:t xml:space="preserve">. </w:t>
      </w:r>
      <w:proofErr w:type="gramStart"/>
      <w:r w:rsidRPr="00437955">
        <w:rPr>
          <w:sz w:val="28"/>
          <w:szCs w:val="28"/>
          <w:lang w:val="en-US"/>
        </w:rPr>
        <w:t xml:space="preserve">In order to advance the development of the research infrastructure of the Russian Federation, by Decree of the President of the Russian Federation No. 356 of 25.06.2019, a storage synchrotron (the 4th generation SR source) with an energy of 6 </w:t>
      </w:r>
      <w:proofErr w:type="spellStart"/>
      <w:r w:rsidRPr="00437955">
        <w:rPr>
          <w:sz w:val="28"/>
          <w:szCs w:val="28"/>
          <w:lang w:val="en-US"/>
        </w:rPr>
        <w:t>GeV</w:t>
      </w:r>
      <w:proofErr w:type="spellEnd"/>
      <w:r w:rsidRPr="00437955">
        <w:rPr>
          <w:sz w:val="28"/>
          <w:szCs w:val="28"/>
          <w:lang w:val="en-US"/>
        </w:rPr>
        <w:t xml:space="preserve"> and an equilibrium value of the horizontal </w:t>
      </w:r>
      <w:proofErr w:type="spellStart"/>
      <w:r w:rsidRPr="00437955">
        <w:rPr>
          <w:sz w:val="28"/>
          <w:szCs w:val="28"/>
          <w:lang w:val="en-US"/>
        </w:rPr>
        <w:t>emittance</w:t>
      </w:r>
      <w:proofErr w:type="spellEnd"/>
      <w:r w:rsidRPr="00437955">
        <w:rPr>
          <w:sz w:val="28"/>
          <w:szCs w:val="28"/>
          <w:lang w:val="en-US"/>
        </w:rPr>
        <w:t xml:space="preserve"> of the electron beam of no more than 70 </w:t>
      </w:r>
      <w:proofErr w:type="spellStart"/>
      <w:r w:rsidRPr="00437955">
        <w:rPr>
          <w:sz w:val="28"/>
          <w:szCs w:val="28"/>
          <w:lang w:val="en-US"/>
        </w:rPr>
        <w:t>pm∙rad</w:t>
      </w:r>
      <w:proofErr w:type="spellEnd"/>
      <w:r w:rsidRPr="00437955">
        <w:rPr>
          <w:sz w:val="28"/>
          <w:szCs w:val="28"/>
          <w:lang w:val="en-US"/>
        </w:rPr>
        <w:t xml:space="preserve"> (SYLA, former USSR4) is being developed on the basis of NRC KI [7,8].</w:t>
      </w:r>
      <w:proofErr w:type="gramEnd"/>
      <w:r w:rsidRPr="00437955">
        <w:rPr>
          <w:sz w:val="28"/>
          <w:szCs w:val="28"/>
          <w:lang w:val="en-US"/>
        </w:rPr>
        <w:t xml:space="preserve"> This paper presents the</w:t>
      </w:r>
      <w:r w:rsidR="00E16AE9" w:rsidRPr="00437955">
        <w:rPr>
          <w:sz w:val="28"/>
          <w:szCs w:val="28"/>
          <w:lang w:val="en-US"/>
        </w:rPr>
        <w:t xml:space="preserve"> results of the development of the </w:t>
      </w:r>
      <w:r w:rsidR="00437955" w:rsidRPr="00437955">
        <w:rPr>
          <w:sz w:val="28"/>
          <w:szCs w:val="28"/>
          <w:lang w:val="en-US"/>
        </w:rPr>
        <w:t>machine</w:t>
      </w:r>
      <w:r w:rsidRPr="00437955">
        <w:rPr>
          <w:sz w:val="28"/>
          <w:szCs w:val="28"/>
          <w:lang w:val="en-US"/>
        </w:rPr>
        <w:t xml:space="preserve"> lattice</w:t>
      </w:r>
      <w:r w:rsidR="00437955">
        <w:rPr>
          <w:sz w:val="28"/>
          <w:szCs w:val="28"/>
          <w:lang w:val="en-US"/>
        </w:rPr>
        <w:t xml:space="preserve"> as well as top-up </w:t>
      </w:r>
      <w:proofErr w:type="spellStart"/>
      <w:r w:rsidR="00437955">
        <w:rPr>
          <w:sz w:val="28"/>
          <w:szCs w:val="28"/>
          <w:lang w:val="en-US"/>
        </w:rPr>
        <w:t>linac</w:t>
      </w:r>
      <w:proofErr w:type="spellEnd"/>
      <w:r w:rsidR="00437955">
        <w:rPr>
          <w:sz w:val="28"/>
          <w:szCs w:val="28"/>
          <w:lang w:val="en-US"/>
        </w:rPr>
        <w:t xml:space="preserve"> injector</w:t>
      </w:r>
      <w:r w:rsidRPr="00437955">
        <w:rPr>
          <w:sz w:val="28"/>
          <w:szCs w:val="28"/>
          <w:lang w:val="en-US"/>
        </w:rPr>
        <w:t>.</w:t>
      </w:r>
    </w:p>
    <w:p w14:paraId="20F53874" w14:textId="78917DAE" w:rsidR="009E098D" w:rsidRDefault="009E098D" w:rsidP="00C41DEE">
      <w:pPr>
        <w:widowControl w:val="0"/>
        <w:autoSpaceDE w:val="0"/>
        <w:autoSpaceDN w:val="0"/>
        <w:adjustRightInd w:val="0"/>
        <w:jc w:val="both"/>
        <w:rPr>
          <w:sz w:val="28"/>
          <w:szCs w:val="28"/>
          <w:lang w:val="en-US"/>
        </w:rPr>
      </w:pPr>
    </w:p>
    <w:p w14:paraId="7A837960" w14:textId="77777777" w:rsidR="00D077E6" w:rsidRDefault="00D077E6" w:rsidP="00C575B6">
      <w:pPr>
        <w:widowControl w:val="0"/>
        <w:autoSpaceDE w:val="0"/>
        <w:autoSpaceDN w:val="0"/>
        <w:adjustRightInd w:val="0"/>
        <w:ind w:firstLine="340"/>
        <w:jc w:val="both"/>
        <w:rPr>
          <w:sz w:val="28"/>
          <w:szCs w:val="28"/>
          <w:lang w:val="en-US"/>
        </w:rPr>
      </w:pPr>
    </w:p>
    <w:p w14:paraId="17485D93" w14:textId="5BCDF271" w:rsidR="00B401E9" w:rsidRPr="00404AED" w:rsidRDefault="00B401E9" w:rsidP="00B401E9">
      <w:pPr>
        <w:ind w:firstLine="284"/>
        <w:contextualSpacing/>
        <w:jc w:val="both"/>
        <w:rPr>
          <w:bCs/>
          <w:shd w:val="clear" w:color="auto" w:fill="FFFFFF"/>
          <w:lang w:val="en-US"/>
        </w:rPr>
      </w:pPr>
      <w:r w:rsidRPr="00404AED">
        <w:rPr>
          <w:bCs/>
          <w:shd w:val="clear" w:color="auto" w:fill="FFFFFF"/>
          <w:lang w:val="en-US"/>
        </w:rPr>
        <w:t>1. MAX IV Facility Detailed Design Report / https://www.maxiv.lu.se/</w:t>
      </w:r>
    </w:p>
    <w:p w14:paraId="4E3AA0A6" w14:textId="331413E7" w:rsidR="00B401E9" w:rsidRPr="00404AED" w:rsidRDefault="00B401E9" w:rsidP="00B401E9">
      <w:pPr>
        <w:spacing w:after="160"/>
        <w:ind w:left="284"/>
        <w:contextualSpacing/>
        <w:jc w:val="both"/>
        <w:rPr>
          <w:bCs/>
          <w:iCs/>
          <w:shd w:val="clear" w:color="auto" w:fill="FFFFFF"/>
          <w:lang w:val="en-US"/>
        </w:rPr>
      </w:pPr>
      <w:r w:rsidRPr="00404AED">
        <w:rPr>
          <w:bCs/>
          <w:shd w:val="clear" w:color="auto" w:fill="FFFFFF"/>
          <w:lang w:val="en-US"/>
        </w:rPr>
        <w:t xml:space="preserve">2. </w:t>
      </w:r>
      <w:r w:rsidRPr="00404AED">
        <w:rPr>
          <w:bCs/>
          <w:iCs/>
          <w:shd w:val="clear" w:color="auto" w:fill="FFFFFF"/>
          <w:lang w:val="en-US"/>
        </w:rPr>
        <w:t>EBS Storage Ring Technical Report / https://www.esrf.eu/</w:t>
      </w:r>
    </w:p>
    <w:p w14:paraId="3A31EEC0" w14:textId="1DFC2B42" w:rsidR="00B401E9" w:rsidRPr="00404AED" w:rsidRDefault="00B401E9" w:rsidP="00B401E9">
      <w:pPr>
        <w:spacing w:after="160"/>
        <w:ind w:left="284"/>
        <w:contextualSpacing/>
        <w:jc w:val="both"/>
        <w:rPr>
          <w:bCs/>
          <w:iCs/>
          <w:shd w:val="clear" w:color="auto" w:fill="FFFFFF"/>
          <w:lang w:val="en-US"/>
        </w:rPr>
      </w:pPr>
      <w:r w:rsidRPr="00404AED">
        <w:rPr>
          <w:bCs/>
          <w:iCs/>
          <w:shd w:val="clear" w:color="auto" w:fill="FFFFFF"/>
          <w:lang w:val="en-US"/>
        </w:rPr>
        <w:t xml:space="preserve">3. L. Liu, R. T. </w:t>
      </w:r>
      <w:proofErr w:type="spellStart"/>
      <w:r w:rsidRPr="00404AED">
        <w:rPr>
          <w:bCs/>
          <w:iCs/>
          <w:shd w:val="clear" w:color="auto" w:fill="FFFFFF"/>
          <w:lang w:val="en-US"/>
        </w:rPr>
        <w:t>Neuenschwander</w:t>
      </w:r>
      <w:proofErr w:type="spellEnd"/>
      <w:r w:rsidRPr="00404AED">
        <w:rPr>
          <w:bCs/>
          <w:iCs/>
          <w:shd w:val="clear" w:color="auto" w:fill="FFFFFF"/>
          <w:lang w:val="en-US"/>
        </w:rPr>
        <w:t xml:space="preserve"> and A. R. D. Rodrigues, Synchrotron radiation sources in Brazil / .Phil. Trans. R. Soc. A 377: 20180235 (2019).</w:t>
      </w:r>
    </w:p>
    <w:p w14:paraId="28A10B8D" w14:textId="1B48717C" w:rsidR="00B401E9" w:rsidRPr="00404AED" w:rsidRDefault="00B401E9" w:rsidP="00B401E9">
      <w:pPr>
        <w:spacing w:after="160"/>
        <w:ind w:left="284"/>
        <w:contextualSpacing/>
        <w:jc w:val="both"/>
        <w:rPr>
          <w:bCs/>
          <w:iCs/>
          <w:shd w:val="clear" w:color="auto" w:fill="FFFFFF"/>
          <w:lang w:val="en-US"/>
        </w:rPr>
      </w:pPr>
      <w:r w:rsidRPr="00404AED">
        <w:rPr>
          <w:bCs/>
          <w:iCs/>
          <w:shd w:val="clear" w:color="auto" w:fill="FFFFFF"/>
          <w:lang w:val="en-US"/>
        </w:rPr>
        <w:t xml:space="preserve">4. I. </w:t>
      </w:r>
      <w:proofErr w:type="spellStart"/>
      <w:r w:rsidRPr="00404AED">
        <w:rPr>
          <w:bCs/>
          <w:iCs/>
          <w:shd w:val="clear" w:color="auto" w:fill="FFFFFF"/>
          <w:lang w:val="en-US"/>
        </w:rPr>
        <w:t>Agapov</w:t>
      </w:r>
      <w:proofErr w:type="spellEnd"/>
      <w:r w:rsidRPr="00404AED">
        <w:rPr>
          <w:bCs/>
          <w:iCs/>
          <w:shd w:val="clear" w:color="auto" w:fill="FFFFFF"/>
          <w:lang w:val="en-US"/>
        </w:rPr>
        <w:t xml:space="preserve"> et al. PETRA IV: the ultralow-</w:t>
      </w:r>
      <w:proofErr w:type="spellStart"/>
      <w:r w:rsidRPr="00404AED">
        <w:rPr>
          <w:bCs/>
          <w:iCs/>
          <w:shd w:val="clear" w:color="auto" w:fill="FFFFFF"/>
          <w:lang w:val="en-US"/>
        </w:rPr>
        <w:t>emittance</w:t>
      </w:r>
      <w:proofErr w:type="spellEnd"/>
      <w:r w:rsidRPr="00404AED">
        <w:rPr>
          <w:bCs/>
          <w:iCs/>
          <w:shd w:val="clear" w:color="auto" w:fill="FFFFFF"/>
          <w:lang w:val="en-US"/>
        </w:rPr>
        <w:t xml:space="preserve"> source project at DESY / J. Synchrotron Rad. (2018). 25, 1277–1290.</w:t>
      </w:r>
    </w:p>
    <w:p w14:paraId="4544E4DB" w14:textId="513F3E8F" w:rsidR="00B401E9" w:rsidRPr="00404AED" w:rsidRDefault="00B401E9" w:rsidP="00B401E9">
      <w:pPr>
        <w:spacing w:after="160"/>
        <w:ind w:left="284"/>
        <w:contextualSpacing/>
        <w:jc w:val="both"/>
        <w:rPr>
          <w:bCs/>
          <w:iCs/>
          <w:shd w:val="clear" w:color="auto" w:fill="FFFFFF"/>
          <w:lang w:val="en-US"/>
        </w:rPr>
      </w:pPr>
      <w:r w:rsidRPr="00404AED">
        <w:rPr>
          <w:bCs/>
          <w:iCs/>
          <w:shd w:val="clear" w:color="auto" w:fill="FFFFFF"/>
          <w:lang w:val="en-US"/>
        </w:rPr>
        <w:t>5. M. Borland et al., Hybrid seven-bend-</w:t>
      </w:r>
      <w:proofErr w:type="spellStart"/>
      <w:r w:rsidRPr="00404AED">
        <w:rPr>
          <w:bCs/>
          <w:iCs/>
          <w:shd w:val="clear" w:color="auto" w:fill="FFFFFF"/>
          <w:lang w:val="en-US"/>
        </w:rPr>
        <w:t>achromat</w:t>
      </w:r>
      <w:proofErr w:type="spellEnd"/>
      <w:r w:rsidRPr="00404AED">
        <w:rPr>
          <w:bCs/>
          <w:iCs/>
          <w:shd w:val="clear" w:color="auto" w:fill="FFFFFF"/>
          <w:lang w:val="en-US"/>
        </w:rPr>
        <w:t xml:space="preserve"> lattice for the Advanced Photon Source Upgrade / Proceedings of 2015 IPAC, pp. 1776–1779.</w:t>
      </w:r>
    </w:p>
    <w:p w14:paraId="7F0C8E14" w14:textId="48C4E501" w:rsidR="00B401E9" w:rsidRPr="00404AED" w:rsidRDefault="00B401E9" w:rsidP="00B401E9">
      <w:pPr>
        <w:spacing w:after="160"/>
        <w:ind w:left="284"/>
        <w:contextualSpacing/>
        <w:jc w:val="both"/>
        <w:rPr>
          <w:bCs/>
          <w:iCs/>
          <w:shd w:val="clear" w:color="auto" w:fill="FFFFFF"/>
          <w:lang w:val="en-US"/>
        </w:rPr>
      </w:pPr>
      <w:r w:rsidRPr="00404AED">
        <w:rPr>
          <w:bCs/>
          <w:iCs/>
          <w:shd w:val="clear" w:color="auto" w:fill="FFFFFF"/>
          <w:lang w:val="en-US"/>
        </w:rPr>
        <w:t xml:space="preserve">6. HEPS Xu G., Cui X.H., </w:t>
      </w:r>
      <w:proofErr w:type="spellStart"/>
      <w:r w:rsidRPr="00404AED">
        <w:rPr>
          <w:bCs/>
          <w:iCs/>
          <w:shd w:val="clear" w:color="auto" w:fill="FFFFFF"/>
          <w:lang w:val="en-US"/>
        </w:rPr>
        <w:t>Duan</w:t>
      </w:r>
      <w:proofErr w:type="spellEnd"/>
      <w:r w:rsidRPr="00404AED">
        <w:rPr>
          <w:bCs/>
          <w:iCs/>
          <w:shd w:val="clear" w:color="auto" w:fill="FFFFFF"/>
          <w:lang w:val="en-US"/>
        </w:rPr>
        <w:t xml:space="preserve"> Z., </w:t>
      </w:r>
      <w:proofErr w:type="spellStart"/>
      <w:r w:rsidRPr="00404AED">
        <w:rPr>
          <w:bCs/>
          <w:iCs/>
          <w:shd w:val="clear" w:color="auto" w:fill="FFFFFF"/>
          <w:lang w:val="en-US"/>
        </w:rPr>
        <w:t>Guo</w:t>
      </w:r>
      <w:proofErr w:type="spellEnd"/>
      <w:r w:rsidRPr="00404AED">
        <w:rPr>
          <w:bCs/>
          <w:iCs/>
          <w:shd w:val="clear" w:color="auto" w:fill="FFFFFF"/>
          <w:lang w:val="en-US"/>
        </w:rPr>
        <w:t>. Y.Y. / Proceedings of International particle accelerator conference. – Denmark, 2017 – P. 2697 – 2699.</w:t>
      </w:r>
    </w:p>
    <w:p w14:paraId="1FB3A462" w14:textId="39B566B3" w:rsidR="00B401E9" w:rsidRPr="00404AED" w:rsidRDefault="00B401E9" w:rsidP="00B401E9">
      <w:pPr>
        <w:spacing w:after="160"/>
        <w:ind w:left="284"/>
        <w:contextualSpacing/>
        <w:jc w:val="both"/>
        <w:rPr>
          <w:bCs/>
          <w:iCs/>
          <w:shd w:val="clear" w:color="auto" w:fill="FFFFFF"/>
          <w:lang w:val="en-US"/>
        </w:rPr>
      </w:pPr>
      <w:r w:rsidRPr="00404AED">
        <w:rPr>
          <w:bCs/>
          <w:iCs/>
          <w:shd w:val="clear" w:color="auto" w:fill="FFFFFF"/>
          <w:lang w:val="en-US"/>
        </w:rPr>
        <w:t xml:space="preserve">7. S. </w:t>
      </w:r>
      <w:proofErr w:type="spellStart"/>
      <w:r w:rsidRPr="00404AED">
        <w:rPr>
          <w:bCs/>
          <w:iCs/>
          <w:shd w:val="clear" w:color="auto" w:fill="FFFFFF"/>
          <w:lang w:val="en-US"/>
        </w:rPr>
        <w:t>Liuzzo</w:t>
      </w:r>
      <w:proofErr w:type="spellEnd"/>
      <w:r w:rsidRPr="00404AED">
        <w:rPr>
          <w:bCs/>
          <w:iCs/>
          <w:shd w:val="clear" w:color="auto" w:fill="FFFFFF"/>
          <w:lang w:val="en-US"/>
        </w:rPr>
        <w:t xml:space="preserve"> et al., USSR HMBA Storage Ring Lattice Options // 12th IPAC, May 2021, Online, Brazil. TUPAB049.</w:t>
      </w:r>
    </w:p>
    <w:p w14:paraId="49B5F4AE" w14:textId="3364769B" w:rsidR="00B401E9" w:rsidRPr="00404AED" w:rsidRDefault="00B401E9" w:rsidP="00B401E9">
      <w:pPr>
        <w:spacing w:after="160"/>
        <w:ind w:left="284"/>
        <w:contextualSpacing/>
        <w:jc w:val="both"/>
        <w:rPr>
          <w:bCs/>
          <w:iCs/>
          <w:shd w:val="clear" w:color="auto" w:fill="FFFFFF"/>
          <w:lang w:val="en-US"/>
        </w:rPr>
      </w:pPr>
      <w:r w:rsidRPr="00404AED">
        <w:rPr>
          <w:bCs/>
          <w:iCs/>
          <w:shd w:val="clear" w:color="auto" w:fill="FFFFFF"/>
          <w:lang w:val="en-US"/>
        </w:rPr>
        <w:t>8. L. Hoummi et al., Optimization and Error Studies for the USSR HMBA Lattice // 12th IPAC, May 2021, Online, Brazil. MOPAB224.</w:t>
      </w:r>
    </w:p>
    <w:p w14:paraId="2F6BDF64" w14:textId="77777777" w:rsidR="00C775A5" w:rsidRPr="00E5401A" w:rsidRDefault="00C775A5" w:rsidP="009E098D">
      <w:pPr>
        <w:widowControl w:val="0"/>
        <w:autoSpaceDE w:val="0"/>
        <w:autoSpaceDN w:val="0"/>
        <w:adjustRightInd w:val="0"/>
        <w:jc w:val="center"/>
        <w:rPr>
          <w:lang w:val="en-US"/>
        </w:rPr>
      </w:pPr>
    </w:p>
    <w:sectPr w:rsidR="00C775A5" w:rsidRPr="00E5401A" w:rsidSect="00C775A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C07F0" w14:textId="77777777" w:rsidR="000845E2" w:rsidRDefault="000845E2" w:rsidP="004061C2">
      <w:r>
        <w:separator/>
      </w:r>
    </w:p>
  </w:endnote>
  <w:endnote w:type="continuationSeparator" w:id="0">
    <w:p w14:paraId="568B9C2C" w14:textId="77777777" w:rsidR="000845E2" w:rsidRDefault="000845E2"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86DA6" w14:textId="77777777" w:rsidR="004061C2" w:rsidRDefault="004061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D62E5" w14:textId="77777777" w:rsidR="004061C2" w:rsidRDefault="004061C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2E686" w14:textId="77777777" w:rsidR="004061C2" w:rsidRDefault="004061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FC2F7" w14:textId="77777777" w:rsidR="000845E2" w:rsidRDefault="000845E2" w:rsidP="004061C2">
      <w:r>
        <w:separator/>
      </w:r>
    </w:p>
  </w:footnote>
  <w:footnote w:type="continuationSeparator" w:id="0">
    <w:p w14:paraId="12234993" w14:textId="77777777" w:rsidR="000845E2" w:rsidRDefault="000845E2" w:rsidP="00406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88503" w14:textId="77777777" w:rsidR="004061C2" w:rsidRDefault="004061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D5ACA" w14:textId="77777777" w:rsidR="004061C2" w:rsidRDefault="004061C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F3310" w14:textId="77777777" w:rsidR="004061C2" w:rsidRDefault="004061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removePersonalInformation/>
  <w:removeDateAndTime/>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2A"/>
    <w:rsid w:val="00074B75"/>
    <w:rsid w:val="00077BC8"/>
    <w:rsid w:val="000845E2"/>
    <w:rsid w:val="000A3381"/>
    <w:rsid w:val="00153888"/>
    <w:rsid w:val="001A39D1"/>
    <w:rsid w:val="001A7891"/>
    <w:rsid w:val="001D482A"/>
    <w:rsid w:val="00223D4F"/>
    <w:rsid w:val="002A15E7"/>
    <w:rsid w:val="003468B3"/>
    <w:rsid w:val="003811B2"/>
    <w:rsid w:val="003A4FBF"/>
    <w:rsid w:val="00404AED"/>
    <w:rsid w:val="004061C2"/>
    <w:rsid w:val="00437955"/>
    <w:rsid w:val="00490684"/>
    <w:rsid w:val="004E661F"/>
    <w:rsid w:val="0050314E"/>
    <w:rsid w:val="005A1D51"/>
    <w:rsid w:val="00622E53"/>
    <w:rsid w:val="006B0359"/>
    <w:rsid w:val="007B3E28"/>
    <w:rsid w:val="007D5CB3"/>
    <w:rsid w:val="007E690E"/>
    <w:rsid w:val="007E7481"/>
    <w:rsid w:val="008F7BD7"/>
    <w:rsid w:val="009067A0"/>
    <w:rsid w:val="009D1FE7"/>
    <w:rsid w:val="009E098D"/>
    <w:rsid w:val="009E4D25"/>
    <w:rsid w:val="00AB2CC7"/>
    <w:rsid w:val="00AB3855"/>
    <w:rsid w:val="00B401E9"/>
    <w:rsid w:val="00B4673C"/>
    <w:rsid w:val="00BE3BD5"/>
    <w:rsid w:val="00C41DEE"/>
    <w:rsid w:val="00C47E0A"/>
    <w:rsid w:val="00C575B6"/>
    <w:rsid w:val="00C775A5"/>
    <w:rsid w:val="00CC7E21"/>
    <w:rsid w:val="00D077E6"/>
    <w:rsid w:val="00D81FFF"/>
    <w:rsid w:val="00D9628D"/>
    <w:rsid w:val="00DD178D"/>
    <w:rsid w:val="00E13B3D"/>
    <w:rsid w:val="00E16AE9"/>
    <w:rsid w:val="00E5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 w:type="paragraph" w:styleId="a7">
    <w:name w:val="Balloon Text"/>
    <w:basedOn w:val="a"/>
    <w:link w:val="a8"/>
    <w:uiPriority w:val="99"/>
    <w:semiHidden/>
    <w:unhideWhenUsed/>
    <w:rsid w:val="009D1FE7"/>
    <w:rPr>
      <w:rFonts w:ascii="Tahoma" w:hAnsi="Tahoma" w:cs="Tahoma"/>
      <w:sz w:val="16"/>
      <w:szCs w:val="16"/>
    </w:rPr>
  </w:style>
  <w:style w:type="character" w:customStyle="1" w:styleId="a8">
    <w:name w:val="Текст выноски Знак"/>
    <w:basedOn w:val="a0"/>
    <w:link w:val="a7"/>
    <w:uiPriority w:val="99"/>
    <w:semiHidden/>
    <w:rsid w:val="009D1FE7"/>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58B16-E959-46AC-9335-635C4F4D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2233</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2022-01-27T13:25:00Z</dcterms:created>
  <dcterms:modified xsi:type="dcterms:W3CDTF">2022-03-20T17:58:00Z</dcterms:modified>
</cp:coreProperties>
</file>