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b/>
          <w:b/>
          <w:bCs/>
          <w:sz w:val="32"/>
          <w:szCs w:val="32"/>
          <w:lang w:val="en-US"/>
        </w:rPr>
      </w:pPr>
      <w:r>
        <w:rPr>
          <w:b/>
          <w:bCs/>
          <w:sz w:val="32"/>
          <w:szCs w:val="32"/>
          <w:lang w:val="en-US"/>
        </w:rPr>
        <w:t xml:space="preserve">STUDY OF </w:t>
      </w:r>
      <w:r>
        <w:rPr>
          <w:b/>
          <w:bCs/>
          <w:sz w:val="32"/>
          <w:szCs w:val="32"/>
          <w:vertAlign w:val="superscript"/>
          <w:lang w:val="en-US"/>
        </w:rPr>
        <w:t>209</w:t>
      </w:r>
      <w:r>
        <w:rPr>
          <w:b/>
          <w:bCs/>
          <w:sz w:val="32"/>
          <w:szCs w:val="32"/>
          <w:lang w:val="en-US"/>
        </w:rPr>
        <w:t xml:space="preserve">Bi(γ,xn) REACTIONS </w:t>
      </w:r>
    </w:p>
    <w:p>
      <w:pPr>
        <w:pStyle w:val="Normal"/>
        <w:widowControl w:val="false"/>
        <w:jc w:val="center"/>
        <w:rPr>
          <w:b/>
          <w:b/>
          <w:bCs/>
          <w:sz w:val="32"/>
          <w:szCs w:val="32"/>
          <w:lang w:val="en-US"/>
        </w:rPr>
      </w:pPr>
      <w:r>
        <w:rPr>
          <w:b/>
          <w:bCs/>
          <w:sz w:val="32"/>
          <w:szCs w:val="32"/>
          <w:lang w:val="en-US"/>
        </w:rPr>
        <w:t xml:space="preserve">IN ENERGY REGION UP TO 100 MeV </w:t>
      </w:r>
    </w:p>
    <w:p>
      <w:pPr>
        <w:pStyle w:val="Normal"/>
        <w:widowControl w:val="false"/>
        <w:jc w:val="center"/>
        <w:rPr>
          <w:lang w:val="en-US"/>
        </w:rPr>
      </w:pPr>
      <w:r>
        <w:rPr>
          <w:lang w:val="en-US"/>
        </w:rPr>
      </w:r>
    </w:p>
    <w:p>
      <w:pPr>
        <w:pStyle w:val="Normal"/>
        <w:widowControl w:val="false"/>
        <w:jc w:val="center"/>
        <w:rPr>
          <w:sz w:val="28"/>
          <w:szCs w:val="28"/>
          <w:lang w:val="en-US"/>
        </w:rPr>
      </w:pPr>
      <w:r>
        <w:rPr>
          <w:sz w:val="28"/>
          <w:szCs w:val="28"/>
          <w:lang w:val="en-US"/>
        </w:rPr>
        <w:t>M. Demichev</w:t>
      </w:r>
      <w:r>
        <w:rPr>
          <w:sz w:val="28"/>
          <w:szCs w:val="28"/>
          <w:vertAlign w:val="superscript"/>
          <w:lang w:val="en-US"/>
        </w:rPr>
        <w:t>1</w:t>
      </w:r>
      <w:r>
        <w:rPr>
          <w:sz w:val="28"/>
          <w:szCs w:val="28"/>
          <w:lang w:val="en-US"/>
        </w:rPr>
        <w:t>, S. Abou El-Azm</w:t>
      </w:r>
      <w:r>
        <w:rPr>
          <w:sz w:val="28"/>
          <w:szCs w:val="28"/>
          <w:vertAlign w:val="superscript"/>
          <w:lang w:val="en-US"/>
        </w:rPr>
        <w:t>1</w:t>
      </w:r>
      <w:r>
        <w:rPr>
          <w:sz w:val="28"/>
          <w:szCs w:val="28"/>
          <w:lang w:val="en-US"/>
        </w:rPr>
        <w:t>, A.N.Bezbakh</w:t>
      </w:r>
      <w:r>
        <w:rPr>
          <w:sz w:val="28"/>
          <w:szCs w:val="28"/>
          <w:vertAlign w:val="superscript"/>
          <w:lang w:val="en-US"/>
        </w:rPr>
        <w:t>1</w:t>
      </w:r>
      <w:r>
        <w:rPr>
          <w:sz w:val="28"/>
          <w:szCs w:val="28"/>
          <w:lang w:val="en-US"/>
        </w:rPr>
        <w:t>, M. Gostkin</w:t>
      </w:r>
      <w:r>
        <w:rPr>
          <w:sz w:val="28"/>
          <w:szCs w:val="28"/>
          <w:vertAlign w:val="superscript"/>
          <w:lang w:val="en-US"/>
        </w:rPr>
        <w:t>1</w:t>
      </w:r>
      <w:r>
        <w:rPr>
          <w:sz w:val="28"/>
          <w:szCs w:val="28"/>
          <w:lang w:val="en-US"/>
        </w:rPr>
        <w:t>,        N.Jovančević</w:t>
      </w:r>
      <w:r>
        <w:rPr>
          <w:sz w:val="28"/>
          <w:szCs w:val="28"/>
          <w:vertAlign w:val="superscript"/>
          <w:lang w:val="en-US"/>
        </w:rPr>
        <w:t>2</w:t>
      </w:r>
      <w:r>
        <w:rPr>
          <w:sz w:val="28"/>
          <w:szCs w:val="28"/>
          <w:lang w:val="en-US"/>
        </w:rPr>
        <w:t>, D. Knežević</w:t>
      </w:r>
      <w:r>
        <w:rPr>
          <w:sz w:val="28"/>
          <w:szCs w:val="28"/>
          <w:vertAlign w:val="superscript"/>
          <w:lang w:val="en-US"/>
        </w:rPr>
        <w:t>2</w:t>
      </w:r>
      <w:r>
        <w:rPr>
          <w:sz w:val="28"/>
          <w:szCs w:val="28"/>
          <w:lang w:val="en-US"/>
        </w:rPr>
        <w:t>, V. Kobets</w:t>
      </w:r>
      <w:r>
        <w:rPr>
          <w:sz w:val="28"/>
          <w:szCs w:val="28"/>
          <w:vertAlign w:val="superscript"/>
          <w:lang w:val="en-US"/>
        </w:rPr>
        <w:t>1</w:t>
      </w:r>
      <w:r>
        <w:rPr>
          <w:sz w:val="28"/>
          <w:szCs w:val="28"/>
          <w:lang w:val="en-US"/>
        </w:rPr>
        <w:t>, M. Krmar</w:t>
      </w:r>
      <w:r>
        <w:rPr>
          <w:sz w:val="28"/>
          <w:szCs w:val="28"/>
          <w:vertAlign w:val="superscript"/>
          <w:lang w:val="en-US"/>
        </w:rPr>
        <w:t xml:space="preserve">2 </w:t>
      </w:r>
      <w:r>
        <w:rPr>
          <w:sz w:val="28"/>
          <w:szCs w:val="28"/>
          <w:lang w:val="en-US"/>
        </w:rPr>
        <w:t>, U. Kruchonak</w:t>
      </w:r>
      <w:r>
        <w:rPr>
          <w:sz w:val="28"/>
          <w:szCs w:val="28"/>
          <w:vertAlign w:val="superscript"/>
          <w:lang w:val="en-US"/>
        </w:rPr>
        <w:t>1</w:t>
      </w:r>
      <w:r>
        <w:rPr>
          <w:sz w:val="28"/>
          <w:szCs w:val="28"/>
          <w:lang w:val="en-US"/>
        </w:rPr>
        <w:t>, S. Mitrofanov</w:t>
      </w:r>
      <w:r>
        <w:rPr>
          <w:sz w:val="28"/>
          <w:szCs w:val="28"/>
          <w:vertAlign w:val="superscript"/>
          <w:lang w:val="en-US"/>
        </w:rPr>
        <w:t>1</w:t>
      </w:r>
      <w:r>
        <w:rPr>
          <w:sz w:val="28"/>
          <w:szCs w:val="28"/>
          <w:lang w:val="en-US"/>
        </w:rPr>
        <w:t>, S. Porokhovoy</w:t>
      </w:r>
      <w:r>
        <w:rPr>
          <w:sz w:val="28"/>
          <w:szCs w:val="28"/>
          <w:vertAlign w:val="superscript"/>
          <w:lang w:val="en-US"/>
        </w:rPr>
        <w:t>1</w:t>
      </w:r>
      <w:r>
        <w:rPr>
          <w:sz w:val="28"/>
          <w:szCs w:val="28"/>
          <w:lang w:val="en-US"/>
        </w:rPr>
        <w:t>, A.Rahmatinejad</w:t>
      </w:r>
      <w:r>
        <w:rPr>
          <w:sz w:val="28"/>
          <w:szCs w:val="28"/>
          <w:vertAlign w:val="superscript"/>
          <w:lang w:val="en-US"/>
        </w:rPr>
        <w:t>1</w:t>
      </w:r>
      <w:r>
        <w:rPr>
          <w:sz w:val="28"/>
          <w:szCs w:val="28"/>
          <w:lang w:val="en-US"/>
        </w:rPr>
        <w:t>, T.Shneidman</w:t>
      </w:r>
      <w:r>
        <w:rPr>
          <w:sz w:val="28"/>
          <w:szCs w:val="28"/>
          <w:vertAlign w:val="superscript"/>
          <w:lang w:val="en-US"/>
        </w:rPr>
        <w:t>1</w:t>
      </w:r>
      <w:r>
        <w:rPr>
          <w:sz w:val="28"/>
          <w:szCs w:val="28"/>
          <w:lang w:val="en-US"/>
        </w:rPr>
        <w:t>, V. Stegaylov</w:t>
      </w:r>
      <w:r>
        <w:rPr>
          <w:sz w:val="28"/>
          <w:szCs w:val="28"/>
          <w:vertAlign w:val="superscript"/>
          <w:lang w:val="en-US"/>
        </w:rPr>
        <w:t>1</w:t>
      </w:r>
      <w:r>
        <w:rPr>
          <w:sz w:val="28"/>
          <w:szCs w:val="28"/>
          <w:lang w:val="en-US"/>
        </w:rPr>
        <w:t>, Y. Teterev</w:t>
      </w:r>
      <w:r>
        <w:rPr>
          <w:sz w:val="28"/>
          <w:szCs w:val="28"/>
          <w:vertAlign w:val="superscript"/>
          <w:lang w:val="en-US"/>
        </w:rPr>
        <w:t>1</w:t>
      </w:r>
      <w:r>
        <w:rPr>
          <w:sz w:val="28"/>
          <w:szCs w:val="28"/>
          <w:lang w:val="en-US"/>
        </w:rPr>
        <w:t>, A. Zhemchugov</w:t>
      </w:r>
      <w:r>
        <w:rPr>
          <w:sz w:val="28"/>
          <w:szCs w:val="28"/>
          <w:vertAlign w:val="superscript"/>
          <w:lang w:val="en-US"/>
        </w:rPr>
        <w:t>1</w:t>
      </w:r>
    </w:p>
    <w:p>
      <w:pPr>
        <w:pStyle w:val="Normal"/>
        <w:widowControl w:val="false"/>
        <w:jc w:val="center"/>
        <w:rPr>
          <w:sz w:val="24"/>
          <w:szCs w:val="24"/>
        </w:rPr>
      </w:pPr>
      <w:r>
        <w:rPr>
          <w:i/>
          <w:iCs/>
          <w:sz w:val="24"/>
          <w:szCs w:val="24"/>
          <w:vertAlign w:val="superscript"/>
          <w:lang w:val="en-US"/>
        </w:rPr>
        <w:t>1</w:t>
      </w:r>
      <w:r>
        <w:rPr>
          <w:i/>
          <w:iCs/>
          <w:sz w:val="24"/>
          <w:szCs w:val="24"/>
          <w:lang w:val="en-US"/>
        </w:rPr>
        <w:t xml:space="preserve">Joint Institute for Nuclear Research, Dubna, Russia; </w:t>
      </w:r>
      <w:r>
        <w:rPr>
          <w:i/>
          <w:iCs/>
          <w:sz w:val="24"/>
          <w:szCs w:val="24"/>
          <w:vertAlign w:val="superscript"/>
          <w:lang w:val="en-US"/>
        </w:rPr>
        <w:t>2</w:t>
      </w:r>
      <w:r>
        <w:rPr>
          <w:i/>
          <w:sz w:val="24"/>
          <w:szCs w:val="24"/>
          <w:lang w:val="en-US"/>
        </w:rPr>
        <w:t> University of Novi Sad, Novi Sad, Serbia</w:t>
      </w:r>
    </w:p>
    <w:p>
      <w:pPr>
        <w:pStyle w:val="Normal"/>
        <w:widowControl w:val="false"/>
        <w:tabs>
          <w:tab w:val="center" w:pos="4536" w:leader="none"/>
          <w:tab w:val="left" w:pos="6535" w:leader="none"/>
        </w:tabs>
        <w:rPr>
          <w:lang w:val="en-US"/>
        </w:rPr>
      </w:pPr>
      <w:r>
        <w:rPr>
          <w:lang w:val="en-US"/>
        </w:rPr>
        <w:tab/>
        <w:t>E-mail: mdemichev@jinr.ru</w:t>
        <w:tab/>
      </w:r>
    </w:p>
    <w:p>
      <w:pPr>
        <w:pStyle w:val="Normal"/>
        <w:widowControl w:val="false"/>
        <w:jc w:val="center"/>
        <w:rPr>
          <w:lang w:val="en-US"/>
        </w:rPr>
      </w:pPr>
      <w:r>
        <w:rPr>
          <w:lang w:val="en-US"/>
        </w:rPr>
      </w:r>
    </w:p>
    <w:p>
      <w:pPr>
        <w:pStyle w:val="Normal"/>
        <w:widowControl w:val="false"/>
        <w:ind w:firstLine="340"/>
        <w:jc w:val="both"/>
        <w:rPr>
          <w:sz w:val="28"/>
          <w:szCs w:val="28"/>
          <w:lang w:val="en-US"/>
        </w:rPr>
      </w:pPr>
      <w:r>
        <w:rPr>
          <w:sz w:val="28"/>
          <w:szCs w:val="28"/>
          <w:lang w:val="en-US"/>
        </w:rPr>
        <w:t xml:space="preserve">In order to follow relative yields of </w:t>
      </w:r>
      <w:r>
        <w:rPr>
          <w:sz w:val="28"/>
          <w:szCs w:val="28"/>
          <w:vertAlign w:val="superscript"/>
          <w:lang w:val="en-US"/>
        </w:rPr>
        <w:t>209</w:t>
      </w:r>
      <w:r>
        <w:rPr>
          <w:sz w:val="28"/>
          <w:szCs w:val="28"/>
          <w:lang w:val="en-US"/>
        </w:rPr>
        <w:t xml:space="preserve">Bi(γ,xn) reactions, samples of natural bismuth were exposed in LINAC 200 bremsstrahlung beam at several different energies (40 MeV, 60 MeV, 80 MeV and 100 MeV). Activities of eight obtained products of photonuclear reactions with different neutron multiplicity, from (γ,2n)  to (γ,9n) were detected. Relative yields were calculated for all of them. All measurements were normalized on </w:t>
      </w:r>
      <w:r>
        <w:rPr>
          <w:sz w:val="28"/>
          <w:szCs w:val="28"/>
          <w:vertAlign w:val="superscript"/>
          <w:lang w:val="en-US"/>
        </w:rPr>
        <w:t>206</w:t>
      </w:r>
      <w:r>
        <w:rPr>
          <w:sz w:val="28"/>
          <w:szCs w:val="28"/>
          <w:lang w:val="en-US"/>
        </w:rPr>
        <w:t xml:space="preserve">Bi yield. </w:t>
      </w:r>
    </w:p>
    <w:p>
      <w:pPr>
        <w:pStyle w:val="Normal"/>
        <w:widowControl w:val="false"/>
        <w:ind w:firstLine="340"/>
        <w:jc w:val="both"/>
        <w:rPr>
          <w:sz w:val="28"/>
          <w:szCs w:val="28"/>
          <w:lang w:val="en-US"/>
        </w:rPr>
      </w:pPr>
      <w:r>
        <w:rPr>
          <w:sz w:val="28"/>
          <w:szCs w:val="28"/>
          <w:lang w:val="en-US"/>
        </w:rPr>
        <w:t xml:space="preserve">Obtained yields were compared with the results already available in literature. The data in the literature are not very abundant and in some cases the yields differ by a two orders of magnitude.  In all measurements, including this one, it was confirmed that the reaction yield decreases very sharply with the number of neutrons emitted. It has also been observed that for a given multiplicity of neutrons, the relative yield does not depend significantly on maximal energy of the bremsstrahlung. </w:t>
      </w:r>
    </w:p>
    <w:p>
      <w:pPr>
        <w:pStyle w:val="Normal"/>
        <w:widowControl w:val="false"/>
        <w:ind w:firstLine="340"/>
        <w:jc w:val="both"/>
        <w:rPr/>
      </w:pPr>
      <w:r>
        <w:rPr>
          <w:sz w:val="28"/>
          <w:szCs w:val="28"/>
          <w:lang w:val="en-US"/>
        </w:rPr>
        <w:t>Yields obtained by measurements are compared with the results of theoretical calculations. Calculation have been performed using the combination of evaporation and exciton models [1]. The level densities employed in the model have been calculated microscopically to take into account shell effects and their dependence on excitation energy [2].</w:t>
      </w:r>
    </w:p>
    <w:p>
      <w:pPr>
        <w:pStyle w:val="Normal"/>
        <w:widowControl w:val="false"/>
        <w:ind w:firstLine="340"/>
        <w:jc w:val="both"/>
        <w:rPr>
          <w:sz w:val="28"/>
          <w:szCs w:val="28"/>
          <w:lang w:val="en-US"/>
        </w:rPr>
      </w:pPr>
      <w:r>
        <w:rPr>
          <w:sz w:val="28"/>
          <w:szCs w:val="28"/>
          <w:lang w:val="en-US"/>
        </w:rPr>
      </w:r>
    </w:p>
    <w:p>
      <w:pPr>
        <w:pStyle w:val="Normal"/>
        <w:widowControl w:val="false"/>
        <w:ind w:firstLine="340"/>
        <w:jc w:val="both"/>
        <w:rPr/>
      </w:pPr>
      <w:r>
        <w:rPr>
          <w:sz w:val="28"/>
          <w:szCs w:val="28"/>
          <w:lang w:val="en-US"/>
        </w:rPr>
        <w:t xml:space="preserve">[1] </w:t>
      </w:r>
      <w:r>
        <w:rPr>
          <w:b w:val="false"/>
          <w:bCs w:val="false"/>
          <w:sz w:val="28"/>
          <w:szCs w:val="28"/>
          <w:lang w:val="en-US"/>
        </w:rPr>
        <w:t>B. S. Ishkhanov and V. N. Orlin, P</w:t>
      </w:r>
      <w:r>
        <w:rPr>
          <w:b w:val="false"/>
          <w:bCs w:val="false"/>
          <w:i w:val="false"/>
          <w:iCs w:val="false"/>
          <w:sz w:val="28"/>
          <w:szCs w:val="28"/>
          <w:lang w:val="en-US"/>
        </w:rPr>
        <w:t>hysics of Atomic Nuclei  71, No. 3, pp. 493</w:t>
      </w:r>
      <w:r>
        <w:rPr>
          <w:i w:val="false"/>
          <w:iCs w:val="false"/>
          <w:sz w:val="28"/>
          <w:szCs w:val="28"/>
        </w:rPr>
        <w:t xml:space="preserve">–508 </w:t>
      </w:r>
      <w:r>
        <w:rPr>
          <w:i w:val="false"/>
          <w:iCs w:val="false"/>
          <w:sz w:val="28"/>
          <w:szCs w:val="28"/>
          <w:lang w:val="en-US"/>
        </w:rPr>
        <w:t>(</w:t>
      </w:r>
      <w:r>
        <w:rPr>
          <w:b w:val="false"/>
          <w:bCs w:val="false"/>
          <w:i w:val="false"/>
          <w:iCs w:val="false"/>
          <w:sz w:val="28"/>
          <w:szCs w:val="28"/>
          <w:lang w:val="en-US"/>
        </w:rPr>
        <w:t>2008</w:t>
      </w:r>
      <w:r>
        <w:rPr>
          <w:i w:val="false"/>
          <w:iCs w:val="false"/>
          <w:sz w:val="28"/>
          <w:szCs w:val="28"/>
          <w:lang w:val="en-US"/>
        </w:rPr>
        <w:t>)</w:t>
      </w:r>
      <w:r>
        <w:rPr>
          <w:i w:val="false"/>
          <w:iCs w:val="false"/>
          <w:sz w:val="28"/>
          <w:szCs w:val="28"/>
        </w:rPr>
        <w:t>.</w:t>
      </w:r>
    </w:p>
    <w:p>
      <w:pPr>
        <w:pStyle w:val="Normal"/>
        <w:widowControl w:val="false"/>
        <w:ind w:firstLine="340"/>
        <w:jc w:val="both"/>
        <w:rPr/>
      </w:pPr>
      <w:r>
        <w:rPr>
          <w:i w:val="false"/>
          <w:iCs w:val="false"/>
          <w:sz w:val="28"/>
          <w:szCs w:val="28"/>
          <w:lang w:val="en-US"/>
        </w:rPr>
        <w:t xml:space="preserve">[2] </w:t>
      </w:r>
      <w:r>
        <w:rPr>
          <w:i w:val="false"/>
          <w:iCs w:val="false"/>
          <w:sz w:val="28"/>
          <w:szCs w:val="28"/>
        </w:rPr>
        <w:t>A.Rahmatinejad, A.N.Bezbakh, T.M.Shneidman, G.Adamian, N.V.Antonenko, P.Jachimowicz, M.Kowal, Phys.Rev. C 103, 034309 (2021).</w:t>
      </w:r>
    </w:p>
    <w:p>
      <w:pPr>
        <w:pStyle w:val="Normal"/>
        <w:widowControl w:val="false"/>
        <w:ind w:firstLine="340"/>
        <w:jc w:val="both"/>
        <w:rPr>
          <w:rFonts w:ascii="Times New Roman" w:hAnsi="Times New Roman"/>
          <w:i w:val="false"/>
          <w:i w:val="false"/>
          <w:iCs w:val="false"/>
          <w:sz w:val="28"/>
          <w:szCs w:val="28"/>
        </w:rPr>
      </w:pPr>
      <w:r>
        <w:rPr>
          <w:i w:val="false"/>
          <w:iCs w:val="false"/>
          <w:sz w:val="28"/>
          <w:szCs w:val="28"/>
        </w:rPr>
      </w:r>
    </w:p>
    <w:p>
      <w:pPr>
        <w:pStyle w:val="Normal"/>
        <w:widowControl w:val="false"/>
        <w:ind w:firstLine="340"/>
        <w:jc w:val="both"/>
        <w:rPr>
          <w:rStyle w:val="Jlqj4b"/>
          <w:b/>
          <w:b/>
          <w:color w:val="FF0000"/>
          <w:sz w:val="32"/>
          <w:szCs w:val="32"/>
        </w:rPr>
      </w:pPr>
      <w:r>
        <w:rPr>
          <w:b/>
          <w:color w:val="FF0000"/>
          <w:sz w:val="32"/>
          <w:szCs w:val="32"/>
        </w:rPr>
      </w:r>
    </w:p>
    <w:p>
      <w:pPr>
        <w:pStyle w:val="Normal"/>
        <w:widowControl w:val="false"/>
        <w:jc w:val="center"/>
        <w:rPr/>
      </w:pPr>
      <w:r>
        <w:rPr/>
      </w:r>
    </w:p>
    <w:sectPr>
      <w:headerReference w:type="default" r:id="rId2"/>
      <w:footerReference w:type="default" r:id="rId3"/>
      <w:type w:val="nextPage"/>
      <w:pgSz w:w="11906" w:h="16838"/>
      <w:pgMar w:left="1701"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623a9"/>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locked/>
    <w:rsid w:val="004061c2"/>
    <w:rPr>
      <w:sz w:val="24"/>
      <w:lang w:val="ru-RU" w:eastAsia="ru-RU"/>
    </w:rPr>
  </w:style>
  <w:style w:type="character" w:styleId="FooterChar" w:customStyle="1">
    <w:name w:val="Footer Char"/>
    <w:basedOn w:val="DefaultParagraphFont"/>
    <w:link w:val="Footer"/>
    <w:uiPriority w:val="99"/>
    <w:qFormat/>
    <w:locked/>
    <w:rsid w:val="004061c2"/>
    <w:rPr>
      <w:sz w:val="24"/>
      <w:lang w:val="ru-RU" w:eastAsia="ru-RU"/>
    </w:rPr>
  </w:style>
  <w:style w:type="character" w:styleId="BalloonTextChar" w:customStyle="1">
    <w:name w:val="Balloon Text Char"/>
    <w:basedOn w:val="DefaultParagraphFont"/>
    <w:link w:val="BalloonText"/>
    <w:uiPriority w:val="99"/>
    <w:semiHidden/>
    <w:qFormat/>
    <w:rsid w:val="00db5380"/>
    <w:rPr>
      <w:rFonts w:ascii="Tahoma" w:hAnsi="Tahoma" w:cs="Tahoma"/>
      <w:sz w:val="16"/>
      <w:szCs w:val="16"/>
      <w:lang w:val="ru-RU" w:eastAsia="ru-RU"/>
    </w:rPr>
  </w:style>
  <w:style w:type="character" w:styleId="Jlqj4b" w:customStyle="1">
    <w:name w:val="jlqj4b"/>
    <w:basedOn w:val="DefaultParagraphFont"/>
    <w:qFormat/>
    <w:rsid w:val="00bb349a"/>
    <w:rPr/>
  </w:style>
  <w:style w:type="character" w:styleId="InternetLink">
    <w:name w:val="Internet Link"/>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ohit Devanagari"/>
    </w:rPr>
  </w:style>
  <w:style w:type="paragraph" w:styleId="Style14">
    <w:name w:val="Заголовок"/>
    <w:basedOn w:val="Normal"/>
    <w:qFormat/>
    <w:pPr>
      <w:keepNext w:val="true"/>
      <w:spacing w:before="240" w:after="120"/>
    </w:pPr>
    <w:rPr>
      <w:rFonts w:ascii="Liberation Sans" w:hAnsi="Liberation Sans" w:eastAsia="Microsoft YaHei" w:cs="Lucida Sans"/>
      <w:sz w:val="28"/>
      <w:szCs w:val="28"/>
    </w:rPr>
  </w:style>
  <w:style w:type="paragraph" w:styleId="Style15">
    <w:name w:val="Указатель"/>
    <w:basedOn w:val="Normal"/>
    <w:qFormat/>
    <w:pPr>
      <w:suppressLineNumbers/>
    </w:pPr>
    <w:rPr>
      <w:rFonts w:cs="Lucida Sans"/>
    </w:rPr>
  </w:style>
  <w:style w:type="paragraph" w:styleId="Style16">
    <w:name w:val="Верхний и нижний колонтитулы"/>
    <w:basedOn w:val="Normal"/>
    <w:qFormat/>
    <w:pPr/>
    <w:rPr/>
  </w:style>
  <w:style w:type="paragraph" w:styleId="Header">
    <w:name w:val="Header"/>
    <w:basedOn w:val="Normal"/>
    <w:link w:val="HeaderChar"/>
    <w:uiPriority w:val="99"/>
    <w:unhideWhenUsed/>
    <w:rsid w:val="004061c2"/>
    <w:pPr>
      <w:tabs>
        <w:tab w:val="center" w:pos="4844" w:leader="none"/>
        <w:tab w:val="right" w:pos="9689" w:leader="none"/>
      </w:tabs>
    </w:pPr>
    <w:rPr/>
  </w:style>
  <w:style w:type="paragraph" w:styleId="Footer">
    <w:name w:val="Footer"/>
    <w:basedOn w:val="Normal"/>
    <w:link w:val="FooterChar"/>
    <w:uiPriority w:val="99"/>
    <w:unhideWhenUsed/>
    <w:rsid w:val="004061c2"/>
    <w:pPr>
      <w:tabs>
        <w:tab w:val="center" w:pos="4844" w:leader="none"/>
        <w:tab w:val="right" w:pos="9689" w:leader="none"/>
      </w:tabs>
    </w:pPr>
    <w:rPr/>
  </w:style>
  <w:style w:type="paragraph" w:styleId="BalloonText">
    <w:name w:val="Balloon Text"/>
    <w:basedOn w:val="Normal"/>
    <w:link w:val="BalloonTextChar"/>
    <w:uiPriority w:val="99"/>
    <w:semiHidden/>
    <w:unhideWhenUsed/>
    <w:qFormat/>
    <w:rsid w:val="00db538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LibreOffice/6.0.7.3$Linux_X86_64 LibreOffice_project/00m0$Build-3</Application>
  <Pages>1</Pages>
  <Words>285</Words>
  <Characters>1635</Characters>
  <CharactersWithSpaces>1925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2022-03-24T09:38:00Z</dcterms:created>
  <dc:creator/>
  <dc:description/>
  <dc:language>en-US</dc:language>
  <cp:lastModifiedBy/>
  <dcterms:modified xsi:type="dcterms:W3CDTF">2022-04-04T15:02:38Z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