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sz w:val="32"/>
          <w:szCs w:val="32"/>
        </w:rPr>
      </w:pPr>
      <w:r w:rsidDel="00000000" w:rsidR="00000000" w:rsidRPr="00000000">
        <w:rPr>
          <w:b w:val="1"/>
          <w:sz w:val="32"/>
          <w:szCs w:val="32"/>
          <w:rtl w:val="0"/>
        </w:rPr>
        <w:t xml:space="preserve">Study of muon catalyzed </w:t>
      </w:r>
      <w:r w:rsidDel="00000000" w:rsidR="00000000" w:rsidRPr="00000000">
        <w:rPr>
          <w:b w:val="1"/>
          <w:sz w:val="32"/>
          <w:szCs w:val="32"/>
          <w:vertAlign w:val="superscript"/>
          <w:rtl w:val="0"/>
        </w:rPr>
        <w:t xml:space="preserve">3</w:t>
      </w:r>
      <w:r w:rsidDel="00000000" w:rsidR="00000000" w:rsidRPr="00000000">
        <w:rPr>
          <w:b w:val="1"/>
          <w:sz w:val="32"/>
          <w:szCs w:val="32"/>
          <w:rtl w:val="0"/>
        </w:rPr>
        <w:t xml:space="preserve">He</w:t>
      </w:r>
      <w:r w:rsidDel="00000000" w:rsidR="00000000" w:rsidRPr="00000000">
        <w:rPr>
          <w:b w:val="1"/>
          <w:i w:val="1"/>
          <w:sz w:val="32"/>
          <w:szCs w:val="32"/>
          <w:rtl w:val="0"/>
        </w:rPr>
        <w:t xml:space="preserve">d</w:t>
      </w:r>
      <w:r w:rsidDel="00000000" w:rsidR="00000000" w:rsidRPr="00000000">
        <w:rPr>
          <w:b w:val="1"/>
          <w:sz w:val="32"/>
          <w:szCs w:val="32"/>
          <w:rtl w:val="0"/>
        </w:rPr>
        <w:t xml:space="preserve"> Fusion</w:t>
      </w:r>
      <w:r w:rsidDel="00000000" w:rsidR="00000000" w:rsidRPr="00000000">
        <w:rPr>
          <w:rtl w:val="0"/>
        </w:rPr>
      </w:r>
    </w:p>
    <w:p w:rsidR="00000000" w:rsidDel="00000000" w:rsidP="00000000" w:rsidRDefault="00000000" w:rsidRPr="00000000" w14:paraId="00000002">
      <w:pPr>
        <w:widowControl w:val="0"/>
        <w:jc w:val="center"/>
        <w:rPr/>
      </w:pPr>
      <w:r w:rsidDel="00000000" w:rsidR="00000000" w:rsidRPr="00000000">
        <w:rPr>
          <w:rtl w:val="0"/>
        </w:rPr>
      </w:r>
    </w:p>
    <w:p w:rsidR="00000000" w:rsidDel="00000000" w:rsidP="00000000" w:rsidRDefault="00000000" w:rsidRPr="00000000" w14:paraId="00000003">
      <w:pPr>
        <w:widowControl w:val="0"/>
        <w:jc w:val="center"/>
        <w:rPr>
          <w:sz w:val="28"/>
          <w:szCs w:val="28"/>
        </w:rPr>
      </w:pPr>
      <w:r w:rsidDel="00000000" w:rsidR="00000000" w:rsidRPr="00000000">
        <w:rPr>
          <w:sz w:val="28"/>
          <w:szCs w:val="28"/>
          <w:rtl w:val="0"/>
        </w:rPr>
        <w:t xml:space="preserve">I.</w:t>
      </w:r>
      <w:r w:rsidDel="00000000" w:rsidR="00000000" w:rsidRPr="00000000">
        <w:rPr>
          <w:sz w:val="28"/>
          <w:szCs w:val="28"/>
          <w:rtl w:val="0"/>
        </w:rPr>
        <w:t xml:space="preserve">N. Solovyev</w:t>
      </w:r>
      <w:r w:rsidDel="00000000" w:rsidR="00000000" w:rsidRPr="00000000">
        <w:rPr>
          <w:sz w:val="28"/>
          <w:szCs w:val="28"/>
          <w:vertAlign w:val="superscript"/>
          <w:rtl w:val="0"/>
        </w:rPr>
        <w:t xml:space="preserve">1</w:t>
      </w:r>
      <w:r w:rsidDel="00000000" w:rsidR="00000000" w:rsidRPr="00000000">
        <w:rPr>
          <w:sz w:val="28"/>
          <w:szCs w:val="28"/>
          <w:rtl w:val="0"/>
        </w:rPr>
        <w:t xml:space="preserve">, V.A. Ganzha</w:t>
      </w:r>
      <w:r w:rsidDel="00000000" w:rsidR="00000000" w:rsidRPr="00000000">
        <w:rPr>
          <w:sz w:val="28"/>
          <w:szCs w:val="28"/>
          <w:vertAlign w:val="superscript"/>
          <w:rtl w:val="0"/>
        </w:rPr>
        <w:t xml:space="preserve">1</w:t>
      </w:r>
      <w:r w:rsidDel="00000000" w:rsidR="00000000" w:rsidRPr="00000000">
        <w:rPr>
          <w:sz w:val="28"/>
          <w:szCs w:val="28"/>
          <w:rtl w:val="0"/>
        </w:rPr>
        <w:t xml:space="preserve">, V.D. Fotev</w:t>
      </w:r>
      <w:r w:rsidDel="00000000" w:rsidR="00000000" w:rsidRPr="00000000">
        <w:rPr>
          <w:sz w:val="28"/>
          <w:szCs w:val="28"/>
          <w:vertAlign w:val="superscript"/>
          <w:rtl w:val="0"/>
        </w:rPr>
        <w:t xml:space="preserve">1</w:t>
      </w:r>
      <w:r w:rsidDel="00000000" w:rsidR="00000000" w:rsidRPr="00000000">
        <w:rPr>
          <w:sz w:val="28"/>
          <w:szCs w:val="28"/>
          <w:rtl w:val="0"/>
        </w:rPr>
        <w:t xml:space="preserve">, K.A. Ivshin</w:t>
      </w:r>
      <w:r w:rsidDel="00000000" w:rsidR="00000000" w:rsidRPr="00000000">
        <w:rPr>
          <w:sz w:val="28"/>
          <w:szCs w:val="28"/>
          <w:vertAlign w:val="superscript"/>
          <w:rtl w:val="0"/>
        </w:rPr>
        <w:t xml:space="preserve">1</w:t>
      </w:r>
      <w:r w:rsidDel="00000000" w:rsidR="00000000" w:rsidRPr="00000000">
        <w:rPr>
          <w:sz w:val="28"/>
          <w:szCs w:val="28"/>
          <w:rtl w:val="0"/>
        </w:rPr>
        <w:t xml:space="preserve">, L.M. Kochenda</w:t>
      </w:r>
      <w:r w:rsidDel="00000000" w:rsidR="00000000" w:rsidRPr="00000000">
        <w:rPr>
          <w:sz w:val="28"/>
          <w:szCs w:val="28"/>
          <w:vertAlign w:val="superscript"/>
          <w:rtl w:val="0"/>
        </w:rPr>
        <w:t xml:space="preserve">1</w:t>
      </w:r>
      <w:r w:rsidDel="00000000" w:rsidR="00000000" w:rsidRPr="00000000">
        <w:rPr>
          <w:sz w:val="28"/>
          <w:szCs w:val="28"/>
          <w:rtl w:val="0"/>
        </w:rPr>
        <w:t xml:space="preserve">, P.V. Kravchenko</w:t>
      </w:r>
      <w:r w:rsidDel="00000000" w:rsidR="00000000" w:rsidRPr="00000000">
        <w:rPr>
          <w:sz w:val="28"/>
          <w:szCs w:val="28"/>
          <w:vertAlign w:val="superscript"/>
          <w:rtl w:val="0"/>
        </w:rPr>
        <w:t xml:space="preserve">1</w:t>
      </w:r>
      <w:r w:rsidDel="00000000" w:rsidR="00000000" w:rsidRPr="00000000">
        <w:rPr>
          <w:sz w:val="28"/>
          <w:szCs w:val="28"/>
          <w:rtl w:val="0"/>
        </w:rPr>
        <w:t xml:space="preserve">, P.A. Kravtsov</w:t>
      </w:r>
      <w:r w:rsidDel="00000000" w:rsidR="00000000" w:rsidRPr="00000000">
        <w:rPr>
          <w:sz w:val="28"/>
          <w:szCs w:val="28"/>
          <w:vertAlign w:val="superscript"/>
          <w:rtl w:val="0"/>
        </w:rPr>
        <w:t xml:space="preserve">1</w:t>
      </w:r>
      <w:r w:rsidDel="00000000" w:rsidR="00000000" w:rsidRPr="00000000">
        <w:rPr>
          <w:sz w:val="28"/>
          <w:szCs w:val="28"/>
          <w:rtl w:val="0"/>
        </w:rPr>
        <w:t xml:space="preserve">, A.N. Solovev</w:t>
      </w:r>
      <w:r w:rsidDel="00000000" w:rsidR="00000000" w:rsidRPr="00000000">
        <w:rPr>
          <w:sz w:val="28"/>
          <w:szCs w:val="28"/>
          <w:vertAlign w:val="superscript"/>
          <w:rtl w:val="0"/>
        </w:rPr>
        <w:t xml:space="preserve">1</w:t>
      </w:r>
      <w:r w:rsidDel="00000000" w:rsidR="00000000" w:rsidRPr="00000000">
        <w:rPr>
          <w:sz w:val="28"/>
          <w:szCs w:val="28"/>
          <w:rtl w:val="0"/>
        </w:rPr>
        <w:t xml:space="preserve">, V.A. Trofimov</w:t>
      </w:r>
      <w:r w:rsidDel="00000000" w:rsidR="00000000" w:rsidRPr="00000000">
        <w:rPr>
          <w:sz w:val="28"/>
          <w:szCs w:val="28"/>
          <w:vertAlign w:val="superscript"/>
          <w:rtl w:val="0"/>
        </w:rPr>
        <w:t xml:space="preserve">1</w:t>
      </w:r>
      <w:r w:rsidDel="00000000" w:rsidR="00000000" w:rsidRPr="00000000">
        <w:rPr>
          <w:sz w:val="28"/>
          <w:szCs w:val="28"/>
          <w:rtl w:val="0"/>
        </w:rPr>
        <w:t xml:space="preserve">, A.A. Vasilyev</w:t>
      </w:r>
      <w:r w:rsidDel="00000000" w:rsidR="00000000" w:rsidRPr="00000000">
        <w:rPr>
          <w:sz w:val="28"/>
          <w:szCs w:val="28"/>
          <w:vertAlign w:val="superscript"/>
          <w:rtl w:val="0"/>
        </w:rPr>
        <w:t xml:space="preserve">1</w:t>
      </w:r>
      <w:r w:rsidDel="00000000" w:rsidR="00000000" w:rsidRPr="00000000">
        <w:rPr>
          <w:sz w:val="28"/>
          <w:szCs w:val="28"/>
          <w:rtl w:val="0"/>
        </w:rPr>
        <w:t xml:space="preserve">, N.I. Voropaev</w:t>
      </w:r>
      <w:r w:rsidDel="00000000" w:rsidR="00000000" w:rsidRPr="00000000">
        <w:rPr>
          <w:sz w:val="28"/>
          <w:szCs w:val="28"/>
          <w:vertAlign w:val="superscript"/>
          <w:rtl w:val="0"/>
        </w:rPr>
        <w:t xml:space="preserve">1</w:t>
      </w:r>
      <w:r w:rsidDel="00000000" w:rsidR="00000000" w:rsidRPr="00000000">
        <w:rPr>
          <w:sz w:val="28"/>
          <w:szCs w:val="28"/>
          <w:rtl w:val="0"/>
        </w:rPr>
        <w:t xml:space="preserve">, M.E. Vznuzdaev</w:t>
      </w:r>
      <w:r w:rsidDel="00000000" w:rsidR="00000000" w:rsidRPr="00000000">
        <w:rPr>
          <w:sz w:val="28"/>
          <w:szCs w:val="28"/>
          <w:vertAlign w:val="superscript"/>
          <w:rtl w:val="0"/>
        </w:rPr>
        <w:t xml:space="preserve">1</w:t>
      </w:r>
      <w:r w:rsidDel="00000000" w:rsidR="00000000" w:rsidRPr="00000000">
        <w:rPr>
          <w:rtl w:val="0"/>
        </w:rPr>
      </w:r>
    </w:p>
    <w:p w:rsidR="00000000" w:rsidDel="00000000" w:rsidP="00000000" w:rsidRDefault="00000000" w:rsidRPr="00000000" w14:paraId="00000004">
      <w:pPr>
        <w:widowControl w:val="0"/>
        <w:jc w:val="center"/>
        <w:rPr>
          <w:i w:val="1"/>
        </w:rPr>
      </w:pPr>
      <w:r w:rsidDel="00000000" w:rsidR="00000000" w:rsidRPr="00000000">
        <w:rPr>
          <w:i w:val="1"/>
          <w:vertAlign w:val="superscript"/>
          <w:rtl w:val="0"/>
        </w:rPr>
        <w:t xml:space="preserve">1</w:t>
      </w:r>
      <w:r w:rsidDel="00000000" w:rsidR="00000000" w:rsidRPr="00000000">
        <w:rPr>
          <w:i w:val="1"/>
          <w:rtl w:val="0"/>
        </w:rPr>
        <w:t xml:space="preserve">NRC Kurchatov Institute PNPI, Gatchina, Russia</w:t>
      </w:r>
    </w:p>
    <w:p w:rsidR="00000000" w:rsidDel="00000000" w:rsidP="00000000" w:rsidRDefault="00000000" w:rsidRPr="00000000" w14:paraId="00000005">
      <w:pPr>
        <w:widowControl w:val="0"/>
        <w:tabs>
          <w:tab w:val="center" w:pos="4536"/>
          <w:tab w:val="left" w:pos="6535"/>
        </w:tabs>
        <w:rPr/>
      </w:pPr>
      <w:r w:rsidDel="00000000" w:rsidR="00000000" w:rsidRPr="00000000">
        <w:rPr>
          <w:rtl w:val="0"/>
        </w:rPr>
        <w:tab/>
        <w:t xml:space="preserve">E-mail: solovyev_in@pnpi.nrcki.ru</w:t>
      </w:r>
    </w:p>
    <w:p w:rsidR="00000000" w:rsidDel="00000000" w:rsidP="00000000" w:rsidRDefault="00000000" w:rsidRPr="00000000" w14:paraId="00000006">
      <w:pPr>
        <w:widowControl w:val="0"/>
        <w:jc w:val="center"/>
        <w:rPr/>
      </w:pPr>
      <w:r w:rsidDel="00000000" w:rsidR="00000000" w:rsidRPr="00000000">
        <w:rPr>
          <w:rtl w:val="0"/>
        </w:rPr>
      </w:r>
    </w:p>
    <w:p w:rsidR="00000000" w:rsidDel="00000000" w:rsidP="00000000" w:rsidRDefault="00000000" w:rsidRPr="00000000" w14:paraId="00000007">
      <w:pPr>
        <w:widowControl w:val="0"/>
        <w:ind w:firstLine="340"/>
        <w:jc w:val="both"/>
        <w:rPr>
          <w:sz w:val="28"/>
          <w:szCs w:val="28"/>
        </w:rPr>
      </w:pPr>
      <w:r w:rsidDel="00000000" w:rsidR="00000000" w:rsidRPr="00000000">
        <w:rPr>
          <w:sz w:val="28"/>
          <w:szCs w:val="28"/>
          <w:rtl w:val="0"/>
        </w:rPr>
        <w:t xml:space="preserve">The thermonuclear reaction d(</w:t>
      </w:r>
      <w:r w:rsidDel="00000000" w:rsidR="00000000" w:rsidRPr="00000000">
        <w:rPr>
          <w:sz w:val="28"/>
          <w:szCs w:val="28"/>
          <w:vertAlign w:val="superscript"/>
          <w:rtl w:val="0"/>
        </w:rPr>
        <w:t xml:space="preserve">3</w:t>
      </w:r>
      <w:r w:rsidDel="00000000" w:rsidR="00000000" w:rsidRPr="00000000">
        <w:rPr>
          <w:sz w:val="28"/>
          <w:szCs w:val="28"/>
          <w:rtl w:val="0"/>
        </w:rPr>
        <w:t xml:space="preserve">He,α)p is a very rich playground to study various phenomena in different fields of science. Astrophysicists use data of the cross section to build and tune a theory of primordial nucleosynthesis. Most nuclear reactions data doesn’t contain energy dependencies below several keV, the most interesting region for astrophysics.</w:t>
      </w:r>
    </w:p>
    <w:p w:rsidR="00000000" w:rsidDel="00000000" w:rsidP="00000000" w:rsidRDefault="00000000" w:rsidRPr="00000000" w14:paraId="00000008">
      <w:pPr>
        <w:widowControl w:val="0"/>
        <w:ind w:firstLine="340"/>
        <w:jc w:val="both"/>
        <w:rPr>
          <w:sz w:val="28"/>
          <w:szCs w:val="28"/>
        </w:rPr>
      </w:pPr>
      <w:r w:rsidDel="00000000" w:rsidR="00000000" w:rsidRPr="00000000">
        <w:rPr>
          <w:sz w:val="28"/>
          <w:szCs w:val="28"/>
          <w:rtl w:val="0"/>
        </w:rPr>
        <w:t xml:space="preserve">From a practical point of view, the reaction is extremely efficient in energy generation. While producing 18.3 MeV worth of energy, one of the highest energy outputs among nuclear reactions, it doesn’t contain nor produce radioactive elements. It makes possible the construction of the safest and efficient thermonuclear reactor.</w:t>
      </w:r>
    </w:p>
    <w:p w:rsidR="00000000" w:rsidDel="00000000" w:rsidP="00000000" w:rsidRDefault="00000000" w:rsidRPr="00000000" w14:paraId="00000009">
      <w:pPr>
        <w:widowControl w:val="0"/>
        <w:ind w:firstLine="340"/>
        <w:jc w:val="both"/>
        <w:rPr>
          <w:sz w:val="28"/>
          <w:szCs w:val="28"/>
        </w:rPr>
      </w:pPr>
      <w:r w:rsidDel="00000000" w:rsidR="00000000" w:rsidRPr="00000000">
        <w:rPr>
          <w:sz w:val="28"/>
          <w:szCs w:val="28"/>
          <w:rtl w:val="0"/>
        </w:rPr>
        <w:t xml:space="preserve">The use of muons expands studies even more. It </w:t>
      </w:r>
      <w:r w:rsidDel="00000000" w:rsidR="00000000" w:rsidRPr="00000000">
        <w:rPr>
          <w:sz w:val="28"/>
          <w:szCs w:val="28"/>
          <w:rtl w:val="0"/>
        </w:rPr>
        <w:t xml:space="preserve">makes possible</w:t>
      </w:r>
      <w:r w:rsidDel="00000000" w:rsidR="00000000" w:rsidRPr="00000000">
        <w:rPr>
          <w:sz w:val="28"/>
          <w:szCs w:val="28"/>
          <w:rtl w:val="0"/>
        </w:rPr>
        <w:t xml:space="preserve"> to investigate the reaction at extremely low energy (several eV) that has never been done before. Bombarding a gas mixture of </w:t>
      </w:r>
      <w:r w:rsidDel="00000000" w:rsidR="00000000" w:rsidRPr="00000000">
        <w:rPr>
          <w:sz w:val="28"/>
          <w:szCs w:val="28"/>
          <w:vertAlign w:val="superscript"/>
          <w:rtl w:val="0"/>
        </w:rPr>
        <w:t xml:space="preserve">3</w:t>
      </w:r>
      <w:r w:rsidDel="00000000" w:rsidR="00000000" w:rsidRPr="00000000">
        <w:rPr>
          <w:sz w:val="28"/>
          <w:szCs w:val="28"/>
          <w:rtl w:val="0"/>
        </w:rPr>
        <w:t xml:space="preserve">He and D</w:t>
      </w:r>
      <w:r w:rsidDel="00000000" w:rsidR="00000000" w:rsidRPr="00000000">
        <w:rPr>
          <w:sz w:val="28"/>
          <w:szCs w:val="28"/>
          <w:vertAlign w:val="subscript"/>
          <w:rtl w:val="0"/>
        </w:rPr>
        <w:t xml:space="preserve">2</w:t>
      </w:r>
      <w:r w:rsidDel="00000000" w:rsidR="00000000" w:rsidRPr="00000000">
        <w:rPr>
          <w:sz w:val="28"/>
          <w:szCs w:val="28"/>
          <w:rtl w:val="0"/>
        </w:rPr>
        <w:t xml:space="preserve"> (HD) with energetic muons results in the formation of exotic muonic molecules such as </w:t>
      </w:r>
      <w:r w:rsidDel="00000000" w:rsidR="00000000" w:rsidRPr="00000000">
        <w:rPr>
          <w:sz w:val="28"/>
          <w:szCs w:val="28"/>
          <w:vertAlign w:val="superscript"/>
          <w:rtl w:val="0"/>
        </w:rPr>
        <w:t xml:space="preserve">3</w:t>
      </w:r>
      <w:r w:rsidDel="00000000" w:rsidR="00000000" w:rsidRPr="00000000">
        <w:rPr>
          <w:sz w:val="28"/>
          <w:szCs w:val="28"/>
          <w:rtl w:val="0"/>
        </w:rPr>
        <w:t xml:space="preserve">He</w:t>
      </w:r>
      <w:r w:rsidDel="00000000" w:rsidR="00000000" w:rsidRPr="00000000">
        <w:rPr>
          <w:i w:val="1"/>
          <w:sz w:val="28"/>
          <w:szCs w:val="28"/>
          <w:rtl w:val="0"/>
        </w:rPr>
        <w:t xml:space="preserve">μd</w:t>
      </w:r>
      <w:r w:rsidDel="00000000" w:rsidR="00000000" w:rsidRPr="00000000">
        <w:rPr>
          <w:sz w:val="28"/>
          <w:szCs w:val="28"/>
          <w:rtl w:val="0"/>
        </w:rPr>
        <w:t xml:space="preserve">. It was theoretically shown [1] that </w:t>
      </w:r>
      <w:r w:rsidDel="00000000" w:rsidR="00000000" w:rsidRPr="00000000">
        <w:rPr>
          <w:sz w:val="28"/>
          <w:szCs w:val="28"/>
          <w:vertAlign w:val="superscript"/>
          <w:rtl w:val="0"/>
        </w:rPr>
        <w:t xml:space="preserve">3</w:t>
      </w:r>
      <w:r w:rsidDel="00000000" w:rsidR="00000000" w:rsidRPr="00000000">
        <w:rPr>
          <w:sz w:val="28"/>
          <w:szCs w:val="28"/>
          <w:rtl w:val="0"/>
        </w:rPr>
        <w:t xml:space="preserve">He</w:t>
      </w:r>
      <w:r w:rsidDel="00000000" w:rsidR="00000000" w:rsidRPr="00000000">
        <w:rPr>
          <w:i w:val="1"/>
          <w:sz w:val="28"/>
          <w:szCs w:val="28"/>
          <w:rtl w:val="0"/>
        </w:rPr>
        <w:t xml:space="preserve">d</w:t>
      </w:r>
      <w:r w:rsidDel="00000000" w:rsidR="00000000" w:rsidRPr="00000000">
        <w:rPr>
          <w:sz w:val="28"/>
          <w:szCs w:val="28"/>
          <w:rtl w:val="0"/>
        </w:rPr>
        <w:t xml:space="preserve"> fusion can occur in the formation.</w:t>
      </w:r>
    </w:p>
    <w:p w:rsidR="00000000" w:rsidDel="00000000" w:rsidP="00000000" w:rsidRDefault="00000000" w:rsidRPr="00000000" w14:paraId="0000000A">
      <w:pPr>
        <w:widowControl w:val="0"/>
        <w:ind w:firstLine="340"/>
        <w:jc w:val="both"/>
        <w:rPr>
          <w:sz w:val="28"/>
          <w:szCs w:val="28"/>
        </w:rPr>
      </w:pPr>
      <w:r w:rsidDel="00000000" w:rsidR="00000000" w:rsidRPr="00000000">
        <w:rPr>
          <w:sz w:val="28"/>
          <w:szCs w:val="28"/>
          <w:rtl w:val="0"/>
        </w:rPr>
        <w:t xml:space="preserve">The experiment aimed to investigate muon catalyzed </w:t>
      </w:r>
      <w:r w:rsidDel="00000000" w:rsidR="00000000" w:rsidRPr="00000000">
        <w:rPr>
          <w:sz w:val="28"/>
          <w:szCs w:val="28"/>
          <w:vertAlign w:val="superscript"/>
          <w:rtl w:val="0"/>
        </w:rPr>
        <w:t xml:space="preserve">3</w:t>
      </w:r>
      <w:r w:rsidDel="00000000" w:rsidR="00000000" w:rsidRPr="00000000">
        <w:rPr>
          <w:sz w:val="28"/>
          <w:szCs w:val="28"/>
          <w:rtl w:val="0"/>
        </w:rPr>
        <w:t xml:space="preserve">Hed fusion is being carried out at PSI (Switzerland) by the PNPI group (Gatchina, Russia). It </w:t>
      </w:r>
      <w:r w:rsidDel="00000000" w:rsidR="00000000" w:rsidRPr="00000000">
        <w:rPr>
          <w:sz w:val="28"/>
          <w:szCs w:val="28"/>
          <w:rtl w:val="0"/>
        </w:rPr>
        <w:t xml:space="preserve">enables the study of </w:t>
      </w:r>
      <w:r w:rsidDel="00000000" w:rsidR="00000000" w:rsidRPr="00000000">
        <w:rPr>
          <w:sz w:val="28"/>
          <w:szCs w:val="28"/>
          <w:rtl w:val="0"/>
        </w:rPr>
        <w:t xml:space="preserve">processes involving m</w:t>
      </w:r>
      <w:r w:rsidDel="00000000" w:rsidR="00000000" w:rsidRPr="00000000">
        <w:rPr>
          <w:sz w:val="28"/>
          <w:szCs w:val="28"/>
          <w:rtl w:val="0"/>
        </w:rPr>
        <w:t xml:space="preserve">esomolecules</w:t>
      </w:r>
      <w:r w:rsidDel="00000000" w:rsidR="00000000" w:rsidRPr="00000000">
        <w:rPr>
          <w:sz w:val="28"/>
          <w:szCs w:val="28"/>
          <w:rtl w:val="0"/>
        </w:rPr>
        <w:t xml:space="preserve">.</w:t>
      </w:r>
    </w:p>
    <w:p w:rsidR="00000000" w:rsidDel="00000000" w:rsidP="00000000" w:rsidRDefault="00000000" w:rsidRPr="00000000" w14:paraId="0000000B">
      <w:pPr>
        <w:widowControl w:val="0"/>
        <w:ind w:firstLine="340"/>
        <w:jc w:val="both"/>
        <w:rPr>
          <w:sz w:val="28"/>
          <w:szCs w:val="28"/>
        </w:rPr>
      </w:pPr>
      <w:r w:rsidDel="00000000" w:rsidR="00000000" w:rsidRPr="00000000">
        <w:rPr>
          <w:sz w:val="28"/>
          <w:szCs w:val="28"/>
          <w:rtl w:val="0"/>
        </w:rPr>
        <w:t xml:space="preserve">The experimental setup adopted from the previous experiment MuSun [2] includes the cryogenic TPC, muon beam detectors, kicker and detection system of electrons coming from muon decays. The kicker allows muons to enter the fiducial volume only one by one. The data collected enables to determine a muon stop position, detect tracks of electrons created via the muon decay as well as tracks of fusion products. Information about the energy of each particle is also stored.</w:t>
      </w:r>
    </w:p>
    <w:p w:rsidR="00000000" w:rsidDel="00000000" w:rsidP="00000000" w:rsidRDefault="00000000" w:rsidRPr="00000000" w14:paraId="0000000C">
      <w:pPr>
        <w:widowControl w:val="0"/>
        <w:ind w:firstLine="340"/>
        <w:jc w:val="both"/>
        <w:rPr>
          <w:sz w:val="28"/>
          <w:szCs w:val="28"/>
        </w:rPr>
      </w:pPr>
      <w:r w:rsidDel="00000000" w:rsidR="00000000" w:rsidRPr="00000000">
        <w:rPr>
          <w:sz w:val="28"/>
          <w:szCs w:val="28"/>
          <w:rtl w:val="0"/>
        </w:rPr>
        <w:t xml:space="preserve">The formation rates of the </w:t>
      </w:r>
      <w:r w:rsidDel="00000000" w:rsidR="00000000" w:rsidRPr="00000000">
        <w:rPr>
          <w:i w:val="1"/>
          <w:sz w:val="28"/>
          <w:szCs w:val="28"/>
          <w:rtl w:val="0"/>
        </w:rPr>
        <w:t xml:space="preserve">dμd</w:t>
      </w:r>
      <w:r w:rsidDel="00000000" w:rsidR="00000000" w:rsidRPr="00000000">
        <w:rPr>
          <w:sz w:val="28"/>
          <w:szCs w:val="28"/>
          <w:rtl w:val="0"/>
        </w:rPr>
        <w:t xml:space="preserve"> and </w:t>
      </w:r>
      <w:r w:rsidDel="00000000" w:rsidR="00000000" w:rsidRPr="00000000">
        <w:rPr>
          <w:sz w:val="28"/>
          <w:szCs w:val="28"/>
          <w:vertAlign w:val="superscript"/>
          <w:rtl w:val="0"/>
        </w:rPr>
        <w:t xml:space="preserve">3</w:t>
      </w:r>
      <w:r w:rsidDel="00000000" w:rsidR="00000000" w:rsidRPr="00000000">
        <w:rPr>
          <w:sz w:val="28"/>
          <w:szCs w:val="28"/>
          <w:rtl w:val="0"/>
        </w:rPr>
        <w:t xml:space="preserve">He</w:t>
      </w:r>
      <w:r w:rsidDel="00000000" w:rsidR="00000000" w:rsidRPr="00000000">
        <w:rPr>
          <w:i w:val="1"/>
          <w:sz w:val="28"/>
          <w:szCs w:val="28"/>
          <w:rtl w:val="0"/>
        </w:rPr>
        <w:t xml:space="preserve">μd</w:t>
      </w:r>
      <w:r w:rsidDel="00000000" w:rsidR="00000000" w:rsidRPr="00000000">
        <w:rPr>
          <w:sz w:val="28"/>
          <w:szCs w:val="28"/>
          <w:rtl w:val="0"/>
        </w:rPr>
        <w:t xml:space="preserve"> molecules, the probability of the muon transfer from </w:t>
      </w:r>
      <w:r w:rsidDel="00000000" w:rsidR="00000000" w:rsidRPr="00000000">
        <w:rPr>
          <w:i w:val="1"/>
          <w:sz w:val="28"/>
          <w:szCs w:val="28"/>
          <w:rtl w:val="0"/>
        </w:rPr>
        <w:t xml:space="preserve">μd</w:t>
      </w:r>
      <w:r w:rsidDel="00000000" w:rsidR="00000000" w:rsidRPr="00000000">
        <w:rPr>
          <w:sz w:val="28"/>
          <w:szCs w:val="28"/>
          <w:rtl w:val="0"/>
        </w:rPr>
        <w:t xml:space="preserve">* to </w:t>
      </w:r>
      <w:r w:rsidDel="00000000" w:rsidR="00000000" w:rsidRPr="00000000">
        <w:rPr>
          <w:i w:val="1"/>
          <w:sz w:val="28"/>
          <w:szCs w:val="28"/>
          <w:rtl w:val="0"/>
        </w:rPr>
        <w:t xml:space="preserve">μd</w:t>
      </w:r>
      <w:r w:rsidDel="00000000" w:rsidR="00000000" w:rsidRPr="00000000">
        <w:rPr>
          <w:sz w:val="28"/>
          <w:szCs w:val="28"/>
          <w:rtl w:val="0"/>
        </w:rPr>
        <w:t xml:space="preserve">, the upper limit for “effective” </w:t>
      </w:r>
      <w:r w:rsidDel="00000000" w:rsidR="00000000" w:rsidRPr="00000000">
        <w:rPr>
          <w:sz w:val="28"/>
          <w:szCs w:val="28"/>
          <w:vertAlign w:val="superscript"/>
          <w:rtl w:val="0"/>
        </w:rPr>
        <w:t xml:space="preserve">3</w:t>
      </w:r>
      <w:r w:rsidDel="00000000" w:rsidR="00000000" w:rsidRPr="00000000">
        <w:rPr>
          <w:sz w:val="28"/>
          <w:szCs w:val="28"/>
          <w:rtl w:val="0"/>
        </w:rPr>
        <w:t xml:space="preserve">He</w:t>
      </w:r>
      <w:r w:rsidDel="00000000" w:rsidR="00000000" w:rsidRPr="00000000">
        <w:rPr>
          <w:i w:val="1"/>
          <w:sz w:val="28"/>
          <w:szCs w:val="28"/>
          <w:rtl w:val="0"/>
        </w:rPr>
        <w:t xml:space="preserve">μd </w:t>
      </w:r>
      <w:r w:rsidDel="00000000" w:rsidR="00000000" w:rsidRPr="00000000">
        <w:rPr>
          <w:sz w:val="28"/>
          <w:szCs w:val="28"/>
          <w:rtl w:val="0"/>
        </w:rPr>
        <w:t xml:space="preserve">fusion decay rate, yields of </w:t>
      </w:r>
      <w:r w:rsidDel="00000000" w:rsidR="00000000" w:rsidRPr="00000000">
        <w:rPr>
          <w:sz w:val="28"/>
          <w:szCs w:val="28"/>
          <w:vertAlign w:val="superscript"/>
          <w:rtl w:val="0"/>
        </w:rPr>
        <w:t xml:space="preserve">3</w:t>
      </w:r>
      <w:r w:rsidDel="00000000" w:rsidR="00000000" w:rsidRPr="00000000">
        <w:rPr>
          <w:sz w:val="28"/>
          <w:szCs w:val="28"/>
          <w:rtl w:val="0"/>
        </w:rPr>
        <w:t xml:space="preserve">He</w:t>
      </w:r>
      <w:r w:rsidDel="00000000" w:rsidR="00000000" w:rsidRPr="00000000">
        <w:rPr>
          <w:i w:val="1"/>
          <w:sz w:val="28"/>
          <w:szCs w:val="28"/>
          <w:rtl w:val="0"/>
        </w:rPr>
        <w:t xml:space="preserve">μd</w:t>
      </w:r>
      <w:r w:rsidDel="00000000" w:rsidR="00000000" w:rsidRPr="00000000">
        <w:rPr>
          <w:sz w:val="28"/>
          <w:szCs w:val="28"/>
          <w:rtl w:val="0"/>
        </w:rPr>
        <w:t xml:space="preserve"> molecules </w:t>
      </w:r>
      <w:r w:rsidDel="00000000" w:rsidR="00000000" w:rsidRPr="00000000">
        <w:rPr>
          <w:sz w:val="28"/>
          <w:szCs w:val="28"/>
          <w:rtl w:val="0"/>
        </w:rPr>
        <w:t xml:space="preserve">have</w:t>
      </w:r>
      <w:r w:rsidDel="00000000" w:rsidR="00000000" w:rsidRPr="00000000">
        <w:rPr>
          <w:sz w:val="28"/>
          <w:szCs w:val="28"/>
          <w:rtl w:val="0"/>
        </w:rPr>
        <w:t xml:space="preserve"> been obtained and presented.</w:t>
      </w:r>
    </w:p>
    <w:p w:rsidR="00000000" w:rsidDel="00000000" w:rsidP="00000000" w:rsidRDefault="00000000" w:rsidRPr="00000000" w14:paraId="0000000D">
      <w:pPr>
        <w:widowControl w:val="0"/>
        <w:ind w:firstLine="340"/>
        <w:jc w:val="both"/>
        <w:rPr>
          <w:sz w:val="28"/>
          <w:szCs w:val="28"/>
        </w:rPr>
      </w:pPr>
      <w:r w:rsidDel="00000000" w:rsidR="00000000" w:rsidRPr="00000000">
        <w:rPr>
          <w:rtl w:val="0"/>
        </w:rPr>
      </w:r>
    </w:p>
    <w:p w:rsidR="00000000" w:rsidDel="00000000" w:rsidP="00000000" w:rsidRDefault="00000000" w:rsidRPr="00000000" w14:paraId="0000000E">
      <w:pPr>
        <w:widowControl w:val="0"/>
        <w:ind w:left="340" w:firstLine="0"/>
        <w:jc w:val="both"/>
        <w:rPr/>
      </w:pPr>
      <w:r w:rsidDel="00000000" w:rsidR="00000000" w:rsidRPr="00000000">
        <w:rPr>
          <w:rtl w:val="0"/>
        </w:rPr>
        <w:t xml:space="preserve">1. M.P. Faifman and L.I. Men'shikov, Hyperfine Interact. 119, 127 (1999).</w:t>
      </w:r>
    </w:p>
    <w:p w:rsidR="00000000" w:rsidDel="00000000" w:rsidP="00000000" w:rsidRDefault="00000000" w:rsidRPr="00000000" w14:paraId="0000000F">
      <w:pPr>
        <w:widowControl w:val="0"/>
        <w:ind w:left="340" w:firstLine="0"/>
        <w:jc w:val="both"/>
        <w:rPr/>
      </w:pPr>
      <w:r w:rsidDel="00000000" w:rsidR="00000000" w:rsidRPr="00000000">
        <w:rPr>
          <w:rtl w:val="0"/>
        </w:rPr>
        <w:t xml:space="preserve">2. V.A. Ganzha et al., PNPI Main Scientific Activities HEPD 2007–2012, 106 (2013).</w:t>
      </w:r>
    </w:p>
    <w:sectPr>
      <w:headerReference r:id="rId6" w:type="default"/>
      <w:headerReference r:id="rId7" w:type="first"/>
      <w:headerReference r:id="rId8" w:type="even"/>
      <w:footerReference r:id="rId9" w:type="default"/>
      <w:footerReference r:id="rId10" w:type="first"/>
      <w:footerReference r:id="rId11" w:type="even"/>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