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404C" w14:textId="33EEA54F" w:rsidR="00171840" w:rsidRPr="007270C2" w:rsidRDefault="007270C2" w:rsidP="00DB500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270C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EXPERIMENTAL INVESTIGATIONS OF THE 9.2, 15.1, AND 24.3 </w:t>
      </w:r>
      <w:r w:rsidR="00AA4F9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ke</w:t>
      </w:r>
      <w:r w:rsidRPr="007270C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V NUCLEAR TRANSITIONS IN </w:t>
      </w:r>
      <w:r w:rsidRPr="007270C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vertAlign w:val="superscript"/>
          <w:lang w:val="en-US"/>
        </w:rPr>
        <w:t>227</w:t>
      </w:r>
      <w:r w:rsidRPr="007270C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T</w:t>
      </w:r>
      <w:r w:rsidR="00AA4F9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h</w:t>
      </w:r>
      <w:r w:rsidRPr="007270C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AND </w:t>
      </w:r>
      <w:r w:rsidRPr="007270C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CONSEQUENCES OF </w:t>
      </w:r>
      <w:r w:rsidRPr="007270C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THEIR RESULTS </w:t>
      </w:r>
      <w:r w:rsidRPr="007270C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FOR SPIN-PARITY ASSIGNMENTS TO LOW-LYING STATES OF </w:t>
      </w:r>
      <w:r w:rsidRPr="007270C2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en-US"/>
        </w:rPr>
        <w:t>227</w:t>
      </w:r>
      <w:r w:rsidRPr="007270C2">
        <w:rPr>
          <w:rFonts w:ascii="Times New Roman" w:hAnsi="Times New Roman" w:cs="Times New Roman"/>
          <w:b/>
          <w:bCs/>
          <w:sz w:val="32"/>
          <w:szCs w:val="32"/>
          <w:lang w:val="en-US"/>
        </w:rPr>
        <w:t>T</w:t>
      </w:r>
      <w:r w:rsidR="00AA4F93">
        <w:rPr>
          <w:rFonts w:ascii="Times New Roman" w:hAnsi="Times New Roman" w:cs="Times New Roman"/>
          <w:b/>
          <w:bCs/>
          <w:sz w:val="32"/>
          <w:szCs w:val="32"/>
          <w:lang w:val="en-US"/>
        </w:rPr>
        <w:t>h</w:t>
      </w:r>
    </w:p>
    <w:p w14:paraId="64A294F7" w14:textId="77777777" w:rsidR="00171840" w:rsidRDefault="00171840" w:rsidP="00DB50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88BC329" w14:textId="4CEC412F" w:rsidR="00D75944" w:rsidRPr="007270C2" w:rsidRDefault="00D75944" w:rsidP="00E21D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70C2">
        <w:rPr>
          <w:rFonts w:ascii="Times New Roman" w:hAnsi="Times New Roman" w:cs="Times New Roman"/>
          <w:sz w:val="28"/>
          <w:szCs w:val="28"/>
        </w:rPr>
        <w:t>А</w:t>
      </w:r>
      <w:r w:rsidRPr="007270C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7270C2"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Pr="007270C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270C2">
        <w:rPr>
          <w:rFonts w:ascii="Times New Roman" w:hAnsi="Times New Roman" w:cs="Times New Roman"/>
          <w:sz w:val="28"/>
          <w:szCs w:val="28"/>
          <w:lang w:val="en-US"/>
        </w:rPr>
        <w:t>Inoyatov</w:t>
      </w:r>
      <w:proofErr w:type="spellEnd"/>
      <w:r w:rsidRPr="007270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270C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a,</w:t>
      </w:r>
      <w:r w:rsidR="007D0E9F" w:rsidRPr="007270C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proofErr w:type="gramEnd"/>
      <w:r w:rsidRPr="007270C2">
        <w:rPr>
          <w:rFonts w:ascii="Times New Roman" w:hAnsi="Times New Roman" w:cs="Times New Roman"/>
          <w:sz w:val="28"/>
          <w:szCs w:val="28"/>
          <w:lang w:val="en-US"/>
        </w:rPr>
        <w:t xml:space="preserve">, L.L. </w:t>
      </w:r>
      <w:proofErr w:type="spellStart"/>
      <w:r w:rsidRPr="007270C2">
        <w:rPr>
          <w:rFonts w:ascii="Times New Roman" w:hAnsi="Times New Roman" w:cs="Times New Roman"/>
          <w:sz w:val="28"/>
          <w:szCs w:val="28"/>
          <w:lang w:val="en-US"/>
        </w:rPr>
        <w:t>Perevoshchikov</w:t>
      </w:r>
      <w:proofErr w:type="spellEnd"/>
      <w:r w:rsidRPr="007270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70C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7270C2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7270C2">
        <w:rPr>
          <w:rFonts w:ascii="Times New Roman" w:hAnsi="Times New Roman" w:cs="Times New Roman"/>
          <w:sz w:val="28"/>
          <w:szCs w:val="28"/>
          <w:lang w:val="en-US"/>
        </w:rPr>
        <w:t>Ryšavý</w:t>
      </w:r>
      <w:proofErr w:type="spellEnd"/>
      <w:r w:rsidRPr="007270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0E9F" w:rsidRPr="007270C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7270C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A3DFE">
        <w:rPr>
          <w:rFonts w:ascii="Times New Roman" w:hAnsi="Times New Roman" w:cs="Times New Roman"/>
          <w:sz w:val="28"/>
          <w:szCs w:val="28"/>
          <w:lang w:val="en-US"/>
        </w:rPr>
        <w:t xml:space="preserve">D.V. </w:t>
      </w:r>
      <w:proofErr w:type="spellStart"/>
      <w:r w:rsidRPr="006A3DFE">
        <w:rPr>
          <w:rFonts w:ascii="Times New Roman" w:hAnsi="Times New Roman" w:cs="Times New Roman"/>
          <w:sz w:val="28"/>
          <w:szCs w:val="28"/>
          <w:lang w:val="en-US"/>
        </w:rPr>
        <w:t>Filosofov</w:t>
      </w:r>
      <w:proofErr w:type="spellEnd"/>
      <w:r w:rsidRPr="006A3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3D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6A3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109A4" w:rsidRPr="006A3DF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A3DFE">
        <w:rPr>
          <w:rFonts w:ascii="Times New Roman" w:hAnsi="Times New Roman" w:cs="Times New Roman"/>
          <w:sz w:val="28"/>
          <w:szCs w:val="28"/>
          <w:lang w:val="en-US"/>
        </w:rPr>
        <w:t xml:space="preserve">P. Alexa </w:t>
      </w:r>
      <w:r w:rsidRPr="006A3D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6A3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70C2">
        <w:rPr>
          <w:rFonts w:ascii="Times New Roman" w:hAnsi="Times New Roman" w:cs="Times New Roman"/>
          <w:sz w:val="28"/>
          <w:szCs w:val="28"/>
          <w:lang w:val="en-US"/>
        </w:rPr>
        <w:t xml:space="preserve">J. </w:t>
      </w:r>
      <w:proofErr w:type="spellStart"/>
      <w:r w:rsidRPr="007270C2">
        <w:rPr>
          <w:rFonts w:ascii="Times New Roman" w:hAnsi="Times New Roman" w:cs="Times New Roman"/>
          <w:sz w:val="28"/>
          <w:szCs w:val="28"/>
          <w:lang w:val="en-US"/>
        </w:rPr>
        <w:t>Kvasil</w:t>
      </w:r>
      <w:proofErr w:type="spellEnd"/>
      <w:r w:rsidR="00784E09" w:rsidRPr="007270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70C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</w:t>
      </w:r>
      <w:r w:rsidR="00052A8C" w:rsidRPr="007270C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22D60" w:rsidRPr="007270C2">
        <w:rPr>
          <w:rFonts w:ascii="Times New Roman" w:hAnsi="Times New Roman" w:cs="Times New Roman"/>
          <w:sz w:val="28"/>
          <w:szCs w:val="28"/>
          <w:lang w:val="en-US"/>
        </w:rPr>
        <w:t xml:space="preserve">J.A. </w:t>
      </w:r>
      <w:proofErr w:type="spellStart"/>
      <w:r w:rsidR="00F22D60" w:rsidRPr="007270C2">
        <w:rPr>
          <w:rFonts w:ascii="Times New Roman" w:hAnsi="Times New Roman" w:cs="Times New Roman"/>
          <w:sz w:val="28"/>
          <w:szCs w:val="28"/>
          <w:lang w:val="en-US"/>
        </w:rPr>
        <w:t>Dadakhanov</w:t>
      </w:r>
      <w:proofErr w:type="spellEnd"/>
      <w:r w:rsidR="00F22D60" w:rsidRPr="007270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2D60" w:rsidRPr="007270C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="00F22D60" w:rsidRPr="007270C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70C2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7270C2">
        <w:rPr>
          <w:rFonts w:ascii="Times New Roman" w:hAnsi="Times New Roman" w:cs="Times New Roman"/>
          <w:sz w:val="28"/>
          <w:szCs w:val="28"/>
          <w:lang w:val="en-US"/>
        </w:rPr>
        <w:t>Kovalík</w:t>
      </w:r>
      <w:proofErr w:type="spellEnd"/>
      <w:r w:rsidRPr="007270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70C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a,</w:t>
      </w:r>
      <w:r w:rsidR="003E2942" w:rsidRPr="007270C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proofErr w:type="spellEnd"/>
    </w:p>
    <w:p w14:paraId="6F693100" w14:textId="0DF62639" w:rsidR="002C3268" w:rsidRPr="007270C2" w:rsidRDefault="002C3268" w:rsidP="009C40DB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270C2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a</w:t>
      </w:r>
      <w:r w:rsidRPr="007270C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270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JINR, </w:t>
      </w:r>
      <w:r w:rsidR="00696030" w:rsidRPr="007270C2">
        <w:rPr>
          <w:rFonts w:ascii="Times New Roman" w:hAnsi="Times New Roman" w:cs="Times New Roman"/>
          <w:i/>
          <w:iCs/>
          <w:sz w:val="24"/>
          <w:szCs w:val="24"/>
          <w:lang w:val="en-US"/>
        </w:rPr>
        <w:t>Dubna</w:t>
      </w:r>
      <w:r w:rsidRPr="007270C2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696030" w:rsidRPr="007270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</w:t>
      </w:r>
      <w:r w:rsidRPr="007270C2">
        <w:rPr>
          <w:rFonts w:ascii="Times New Roman" w:hAnsi="Times New Roman" w:cs="Times New Roman"/>
          <w:i/>
          <w:iCs/>
          <w:sz w:val="24"/>
          <w:szCs w:val="24"/>
          <w:lang w:val="en-US"/>
        </w:rPr>
        <w:t>ussia</w:t>
      </w:r>
      <w:r w:rsidR="00696030" w:rsidRPr="007270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7270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727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70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NPI </w:t>
      </w:r>
      <w:proofErr w:type="spellStart"/>
      <w:r w:rsidRPr="007270C2">
        <w:rPr>
          <w:rFonts w:ascii="Times New Roman" w:hAnsi="Times New Roman" w:cs="Times New Roman"/>
          <w:i/>
          <w:sz w:val="24"/>
          <w:szCs w:val="24"/>
          <w:lang w:val="en-US"/>
        </w:rPr>
        <w:t>ASUzR</w:t>
      </w:r>
      <w:proofErr w:type="spellEnd"/>
      <w:r w:rsidRPr="007270C2">
        <w:rPr>
          <w:rFonts w:ascii="Times New Roman" w:hAnsi="Times New Roman" w:cs="Times New Roman"/>
          <w:i/>
          <w:sz w:val="24"/>
          <w:szCs w:val="24"/>
          <w:lang w:val="en-US"/>
        </w:rPr>
        <w:t>, Ulugbek, Uzbekistan</w:t>
      </w:r>
      <w:r w:rsidR="00A468E7" w:rsidRPr="007270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7270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r w:rsidRPr="00727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70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NPI ASCR, </w:t>
      </w:r>
      <w:proofErr w:type="spellStart"/>
      <w:r w:rsidRPr="007270C2">
        <w:rPr>
          <w:rFonts w:ascii="Times New Roman" w:hAnsi="Times New Roman" w:cs="Times New Roman"/>
          <w:i/>
          <w:sz w:val="24"/>
          <w:szCs w:val="24"/>
          <w:lang w:val="en-US"/>
        </w:rPr>
        <w:t>Řež</w:t>
      </w:r>
      <w:proofErr w:type="spellEnd"/>
      <w:r w:rsidRPr="007270C2">
        <w:rPr>
          <w:rFonts w:ascii="Times New Roman" w:hAnsi="Times New Roman" w:cs="Times New Roman"/>
          <w:i/>
          <w:sz w:val="24"/>
          <w:szCs w:val="24"/>
          <w:lang w:val="en-US"/>
        </w:rPr>
        <w:t>, Czec</w:t>
      </w:r>
      <w:r w:rsidR="00A468E7" w:rsidRPr="007270C2">
        <w:rPr>
          <w:rFonts w:ascii="Times New Roman" w:hAnsi="Times New Roman" w:cs="Times New Roman"/>
          <w:i/>
          <w:sz w:val="24"/>
          <w:szCs w:val="24"/>
          <w:lang w:val="en-US"/>
        </w:rPr>
        <w:t>hia</w:t>
      </w:r>
      <w:r w:rsidR="00DA6B2C" w:rsidRPr="007270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7270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727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70C2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="00401C1F" w:rsidRPr="007270C2">
        <w:rPr>
          <w:rFonts w:ascii="Times New Roman" w:hAnsi="Times New Roman" w:cs="Times New Roman"/>
          <w:i/>
          <w:iCs/>
          <w:sz w:val="24"/>
          <w:szCs w:val="24"/>
          <w:lang w:val="cs-CZ"/>
        </w:rPr>
        <w:t>Š</w:t>
      </w:r>
      <w:r w:rsidRPr="007270C2">
        <w:rPr>
          <w:rFonts w:ascii="Times New Roman" w:hAnsi="Times New Roman" w:cs="Times New Roman"/>
          <w:i/>
          <w:iCs/>
          <w:sz w:val="24"/>
          <w:szCs w:val="24"/>
          <w:lang w:val="en-US"/>
        </w:rPr>
        <w:t>B-Technical University, Ostrava, Czechi</w:t>
      </w:r>
      <w:r w:rsidR="00DA6B2C" w:rsidRPr="007270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a, </w:t>
      </w:r>
      <w:r w:rsidRPr="007270C2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e</w:t>
      </w:r>
      <w:r w:rsidRPr="007270C2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Charles University, Praha, Czech</w:t>
      </w:r>
      <w:r w:rsidR="007C3365" w:rsidRPr="007270C2">
        <w:rPr>
          <w:rFonts w:ascii="Times New Roman" w:hAnsi="Times New Roman" w:cs="Times New Roman"/>
          <w:i/>
          <w:iCs/>
          <w:sz w:val="24"/>
          <w:szCs w:val="24"/>
          <w:lang w:val="cs-CZ"/>
        </w:rPr>
        <w:t>ia</w:t>
      </w:r>
    </w:p>
    <w:p w14:paraId="7B8FA0E8" w14:textId="77604EFE" w:rsidR="00996880" w:rsidRPr="00D3289B" w:rsidRDefault="006B27AC" w:rsidP="00902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6678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The 9.2, 15.1, and 24.3 keV nuclear transitions in </w:t>
      </w:r>
      <w:r w:rsidRPr="0056678E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227</w:t>
      </w:r>
      <w:r w:rsidRPr="0056678E">
        <w:rPr>
          <w:rFonts w:ascii="Times New Roman" w:hAnsi="Times New Roman" w:cs="Times New Roman"/>
          <w:sz w:val="28"/>
          <w:szCs w:val="28"/>
          <w:lang w:val="en-GB"/>
        </w:rPr>
        <w:t xml:space="preserve">Th </w:t>
      </w:r>
      <w:r w:rsidRPr="0056678E">
        <w:rPr>
          <w:rFonts w:ascii="Times New Roman" w:hAnsi="Times New Roman" w:cs="Times New Roman"/>
          <w:sz w:val="28"/>
          <w:szCs w:val="28"/>
          <w:lang w:val="en-US"/>
        </w:rPr>
        <w:t>were studied in</w:t>
      </w:r>
      <w:r w:rsidRPr="0056678E">
        <w:rPr>
          <w:rFonts w:ascii="Times New Roman" w:hAnsi="Times New Roman" w:cs="Times New Roman"/>
          <w:sz w:val="28"/>
          <w:szCs w:val="28"/>
          <w:lang w:val="en-GB"/>
        </w:rPr>
        <w:t xml:space="preserve"> the </w:t>
      </w:r>
      <w:r w:rsidRPr="0056678E">
        <w:rPr>
          <w:rFonts w:ascii="Times New Roman" w:hAnsi="Times New Roman" w:cs="Times New Roman"/>
          <w:sz w:val="28"/>
          <w:szCs w:val="28"/>
          <w:lang w:val="en-US"/>
        </w:rPr>
        <w:sym w:font="Symbol" w:char="F062"/>
      </w:r>
      <w:r w:rsidRPr="0056678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-decay of </w:t>
      </w:r>
      <w:r w:rsidRPr="0056678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227</w:t>
      </w:r>
      <w:r w:rsidRPr="0056678E">
        <w:rPr>
          <w:rFonts w:ascii="Times New Roman" w:hAnsi="Times New Roman" w:cs="Times New Roman"/>
          <w:sz w:val="28"/>
          <w:szCs w:val="28"/>
          <w:lang w:val="en-US"/>
        </w:rPr>
        <w:t>Ac by means of the internal conversion electron spectroscopy</w:t>
      </w:r>
      <w:r w:rsidR="000D38AD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 (ICES)</w:t>
      </w:r>
      <w:r w:rsidR="006B473F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 using t</w:t>
      </w:r>
      <w:r w:rsidR="006B473F" w:rsidRPr="0056678E">
        <w:rPr>
          <w:rFonts w:ascii="Times New Roman" w:hAnsi="Times New Roman" w:cs="Times New Roman"/>
          <w:sz w:val="28"/>
          <w:szCs w:val="28"/>
          <w:lang w:val="en-US"/>
        </w:rPr>
        <w:t>he combined electrostatic electron spectrometer [1]</w:t>
      </w:r>
      <w:r w:rsidR="003968D8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68D8" w:rsidRPr="0056678E">
        <w:rPr>
          <w:rFonts w:ascii="Times New Roman" w:hAnsi="Times New Roman" w:cs="Times New Roman"/>
          <w:sz w:val="28"/>
          <w:szCs w:val="28"/>
          <w:lang w:val="en-GB"/>
        </w:rPr>
        <w:t>and the computer code SOFIE (see, e.g., Ref. [2])</w:t>
      </w:r>
      <w:r w:rsidR="000D38AD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to clarify the spin-parity assignment of the ground state and the two lowest excited </w:t>
      </w:r>
      <w:r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states </w:t>
      </w:r>
      <w:r w:rsidR="00A16151" w:rsidRPr="00D3289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28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227</w:t>
      </w:r>
      <w:r w:rsidRPr="00D3289B">
        <w:rPr>
          <w:rFonts w:ascii="Times New Roman" w:hAnsi="Times New Roman" w:cs="Times New Roman"/>
          <w:sz w:val="28"/>
          <w:szCs w:val="28"/>
          <w:lang w:val="en-US"/>
        </w:rPr>
        <w:t>Th.</w:t>
      </w:r>
      <w:r w:rsidR="001C5D81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2147" w:rsidRPr="00D3289B">
        <w:rPr>
          <w:rFonts w:ascii="Times New Roman" w:hAnsi="Times New Roman" w:cs="Times New Roman"/>
          <w:sz w:val="28"/>
          <w:szCs w:val="28"/>
          <w:lang w:val="en-GB"/>
        </w:rPr>
        <w:t>Results obtained were published in [</w:t>
      </w:r>
      <w:r w:rsidR="00090BAD" w:rsidRPr="00D3289B">
        <w:rPr>
          <w:rFonts w:ascii="Times New Roman" w:hAnsi="Times New Roman" w:cs="Times New Roman"/>
          <w:sz w:val="28"/>
          <w:szCs w:val="28"/>
          <w:lang w:val="en-GB"/>
        </w:rPr>
        <w:t>3</w:t>
      </w:r>
      <w:r w:rsidR="002819B3" w:rsidRPr="00D3289B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F75971" w:rsidRPr="00D3289B">
        <w:rPr>
          <w:rFonts w:ascii="Times New Roman" w:hAnsi="Times New Roman" w:cs="Times New Roman"/>
          <w:sz w:val="28"/>
          <w:szCs w:val="28"/>
          <w:lang w:val="en-GB"/>
        </w:rPr>
        <w:t>4,</w:t>
      </w:r>
      <w:r w:rsidR="000C1127" w:rsidRPr="00D3289B">
        <w:rPr>
          <w:rFonts w:ascii="Times New Roman" w:hAnsi="Times New Roman" w:cs="Times New Roman"/>
          <w:sz w:val="28"/>
          <w:szCs w:val="28"/>
          <w:lang w:val="en-GB"/>
        </w:rPr>
        <w:t>5</w:t>
      </w:r>
      <w:r w:rsidR="00352147" w:rsidRPr="00D3289B">
        <w:rPr>
          <w:rFonts w:ascii="Times New Roman" w:hAnsi="Times New Roman" w:cs="Times New Roman"/>
          <w:sz w:val="28"/>
          <w:szCs w:val="28"/>
          <w:lang w:val="en-GB"/>
        </w:rPr>
        <w:t>]</w:t>
      </w:r>
      <w:r w:rsidR="00996880" w:rsidRPr="00D3289B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14:paraId="452F8A10" w14:textId="0457269C" w:rsidR="00F90103" w:rsidRPr="0056678E" w:rsidRDefault="00C94E97" w:rsidP="00902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678E">
        <w:rPr>
          <w:rFonts w:ascii="Times New Roman" w:hAnsi="Times New Roman" w:cs="Times New Roman"/>
          <w:sz w:val="28"/>
          <w:szCs w:val="28"/>
          <w:lang w:val="en-GB"/>
        </w:rPr>
        <w:t xml:space="preserve">Energies </w:t>
      </w:r>
      <w:r w:rsidR="00D2053D" w:rsidRPr="0056678E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Pr="0056678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6678E">
        <w:rPr>
          <w:rFonts w:ascii="Times New Roman" w:hAnsi="Times New Roman" w:cs="Times New Roman"/>
          <w:bCs/>
          <w:sz w:val="28"/>
          <w:szCs w:val="28"/>
          <w:lang w:val="en-US"/>
        </w:rPr>
        <w:t>9244.6±0.8), (</w:t>
      </w:r>
      <w:r w:rsidRPr="0056678E">
        <w:rPr>
          <w:rFonts w:ascii="Times New Roman" w:hAnsi="Times New Roman" w:cs="Times New Roman"/>
          <w:sz w:val="28"/>
          <w:szCs w:val="28"/>
          <w:lang w:val="en-US"/>
        </w:rPr>
        <w:t>15098.6±1.0)</w:t>
      </w:r>
      <w:r w:rsidRPr="0056678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56678E">
        <w:rPr>
          <w:rFonts w:ascii="Times New Roman" w:hAnsi="Times New Roman" w:cs="Times New Roman"/>
          <w:sz w:val="28"/>
          <w:szCs w:val="28"/>
          <w:lang w:val="en-US"/>
        </w:rPr>
        <w:t>and (</w:t>
      </w:r>
      <w:r w:rsidRPr="0056678E">
        <w:rPr>
          <w:rFonts w:ascii="Times New Roman" w:hAnsi="Times New Roman" w:cs="Times New Roman"/>
          <w:bCs/>
          <w:sz w:val="28"/>
          <w:szCs w:val="28"/>
          <w:lang w:val="en-US"/>
        </w:rPr>
        <w:t>24343.1±1.1) eV</w:t>
      </w:r>
      <w:r w:rsidR="00D2053D" w:rsidRPr="0056678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2053D" w:rsidRPr="0056678E">
        <w:rPr>
          <w:rFonts w:ascii="Times New Roman" w:hAnsi="Times New Roman" w:cs="Times New Roman"/>
          <w:sz w:val="28"/>
          <w:szCs w:val="28"/>
          <w:lang w:val="en-GB"/>
        </w:rPr>
        <w:t>were determined</w:t>
      </w:r>
      <w:r w:rsidR="00D2053D" w:rsidRPr="0056678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2053D" w:rsidRPr="0056678E">
        <w:rPr>
          <w:rFonts w:ascii="Times New Roman" w:hAnsi="Times New Roman" w:cs="Times New Roman"/>
          <w:sz w:val="28"/>
          <w:szCs w:val="28"/>
          <w:lang w:val="en-GB"/>
        </w:rPr>
        <w:t xml:space="preserve">for the </w:t>
      </w:r>
      <w:r w:rsidR="00D2053D" w:rsidRPr="0056678E">
        <w:rPr>
          <w:rFonts w:ascii="Times New Roman" w:hAnsi="Times New Roman" w:cs="Times New Roman"/>
          <w:bCs/>
          <w:sz w:val="28"/>
          <w:szCs w:val="28"/>
          <w:lang w:val="en-GB"/>
        </w:rPr>
        <w:t>9.2, 15.1, and 24.3 keV transitions</w:t>
      </w:r>
      <w:r w:rsidRPr="0056678E">
        <w:rPr>
          <w:rFonts w:ascii="Times New Roman" w:hAnsi="Times New Roman" w:cs="Times New Roman"/>
          <w:bCs/>
          <w:sz w:val="28"/>
          <w:szCs w:val="28"/>
          <w:lang w:val="en-US"/>
        </w:rPr>
        <w:t>, respectively</w:t>
      </w:r>
      <w:r w:rsidR="00023344" w:rsidRPr="0056678E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56678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</w:t>
      </w:r>
      <w:r w:rsidR="00AF47A0" w:rsidRPr="0056678E">
        <w:rPr>
          <w:rFonts w:ascii="Times New Roman" w:hAnsi="Times New Roman" w:cs="Times New Roman"/>
          <w:bCs/>
          <w:sz w:val="28"/>
          <w:szCs w:val="28"/>
          <w:lang w:val="en-US"/>
        </w:rPr>
        <w:t>s well as</w:t>
      </w:r>
      <w:r w:rsidRPr="0056678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0657F7" w:rsidRPr="0056678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2053D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57F7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mixed character </w:t>
      </w:r>
      <w:r w:rsidR="00AE2786" w:rsidRPr="0056678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657F7" w:rsidRPr="0056678E">
        <w:rPr>
          <w:rFonts w:ascii="Times New Roman" w:hAnsi="Times New Roman" w:cs="Times New Roman"/>
          <w:sz w:val="28"/>
          <w:szCs w:val="28"/>
          <w:lang w:val="en-US"/>
        </w:rPr>
        <w:t>M1+E2</w:t>
      </w:r>
      <w:r w:rsidR="00AE2786" w:rsidRPr="0056678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2053D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="00C528E3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each of them </w:t>
      </w:r>
      <w:r w:rsidR="00705980" w:rsidRPr="0056678E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0657F7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AF47A0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47A0" w:rsidRPr="0056678E">
        <w:rPr>
          <w:rFonts w:ascii="Times New Roman" w:hAnsi="Times New Roman" w:cs="Times New Roman"/>
          <w:sz w:val="28"/>
          <w:szCs w:val="28"/>
          <w:lang w:val="en-GB"/>
        </w:rPr>
        <w:t>δ</w:t>
      </w:r>
      <w:r w:rsidR="00AF47A0" w:rsidRPr="0056678E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2</w:t>
      </w:r>
      <w:r w:rsidR="00AF47A0" w:rsidRPr="0056678E">
        <w:rPr>
          <w:rFonts w:ascii="Times New Roman" w:hAnsi="Times New Roman" w:cs="Times New Roman"/>
          <w:sz w:val="28"/>
          <w:szCs w:val="28"/>
          <w:lang w:val="en-GB"/>
        </w:rPr>
        <w:t>(E2/M1)</w:t>
      </w:r>
      <w:r w:rsidR="000657F7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5980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values of </w:t>
      </w:r>
      <w:r w:rsidR="00D2053D" w:rsidRPr="0056678E">
        <w:rPr>
          <w:rFonts w:ascii="Times New Roman" w:hAnsi="Times New Roman" w:cs="Times New Roman"/>
          <w:sz w:val="28"/>
          <w:szCs w:val="28"/>
          <w:lang w:val="en-US"/>
        </w:rPr>
        <w:t>(0.695±0.248), (0.0012±0.0003), and (0.0116±0.0004), respectively</w:t>
      </w:r>
      <w:r w:rsidR="00D2053D" w:rsidRPr="0056678E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6C5AE6" w:rsidRPr="0056678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62D20" w:rsidRPr="0056678E">
        <w:rPr>
          <w:rFonts w:ascii="Times New Roman" w:hAnsi="Times New Roman" w:cs="Times New Roman"/>
          <w:sz w:val="28"/>
          <w:szCs w:val="28"/>
          <w:lang w:val="en-GB"/>
        </w:rPr>
        <w:t>An agreement within ±0.1 eV was found among the above transition energy values and those obtained from their interlinked relations based on the decay scheme.</w:t>
      </w:r>
      <w:r w:rsidR="008C0EFD" w:rsidRPr="0056678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71191" w:rsidRPr="0056678E">
        <w:rPr>
          <w:rFonts w:ascii="Times New Roman" w:hAnsi="Times New Roman" w:cs="Times New Roman"/>
          <w:sz w:val="28"/>
          <w:szCs w:val="28"/>
          <w:lang w:val="en-GB"/>
        </w:rPr>
        <w:t xml:space="preserve">Using the gamma-ray spectroscopy, </w:t>
      </w:r>
      <w:r w:rsidR="0081549D" w:rsidRPr="0056678E">
        <w:rPr>
          <w:rFonts w:ascii="Times New Roman" w:hAnsi="Times New Roman" w:cs="Times New Roman"/>
          <w:sz w:val="28"/>
          <w:szCs w:val="28"/>
          <w:lang w:val="en-GB"/>
        </w:rPr>
        <w:t>energ</w:t>
      </w:r>
      <w:r w:rsidR="006C0566" w:rsidRPr="0056678E">
        <w:rPr>
          <w:rFonts w:ascii="Times New Roman" w:hAnsi="Times New Roman" w:cs="Times New Roman"/>
          <w:sz w:val="28"/>
          <w:szCs w:val="28"/>
          <w:lang w:val="en-GB"/>
        </w:rPr>
        <w:t>y values</w:t>
      </w:r>
      <w:r w:rsidR="00D524E1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 of (24342.9±1.2), (28613.3±1.7), and (37860.2±2.0) eV were obtained</w:t>
      </w:r>
      <w:r w:rsidR="0081549D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24E1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for the 24.3, 28.6, and 37.8 keV transitions in </w:t>
      </w:r>
      <w:r w:rsidR="00D524E1" w:rsidRPr="0056678E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227</w:t>
      </w:r>
      <w:r w:rsidR="00D524E1" w:rsidRPr="0056678E">
        <w:rPr>
          <w:rFonts w:ascii="Times New Roman" w:hAnsi="Times New Roman" w:cs="Times New Roman"/>
          <w:sz w:val="28"/>
          <w:szCs w:val="28"/>
          <w:lang w:val="en-GB"/>
        </w:rPr>
        <w:t>Th</w:t>
      </w:r>
      <w:r w:rsidR="0081549D" w:rsidRPr="0056678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81549D" w:rsidRPr="0056678E">
        <w:rPr>
          <w:rFonts w:ascii="Times New Roman" w:hAnsi="Times New Roman" w:cs="Times New Roman"/>
          <w:sz w:val="28"/>
          <w:szCs w:val="28"/>
          <w:lang w:val="en-US"/>
        </w:rPr>
        <w:t>respectively</w:t>
      </w:r>
      <w:r w:rsidR="00FA0354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1361D" w:rsidRPr="0056678E">
        <w:rPr>
          <w:rFonts w:ascii="Times New Roman" w:hAnsi="Times New Roman" w:cs="Times New Roman"/>
          <w:sz w:val="28"/>
          <w:szCs w:val="28"/>
          <w:lang w:val="en-US"/>
        </w:rPr>
        <w:t xml:space="preserve">The almost zero </w:t>
      </w:r>
      <w:r w:rsidR="00FA0354" w:rsidRPr="0056678E">
        <w:rPr>
          <w:rFonts w:ascii="Times New Roman" w:hAnsi="Times New Roman" w:cs="Times New Roman"/>
          <w:sz w:val="28"/>
          <w:szCs w:val="28"/>
          <w:lang w:val="en-US"/>
        </w:rPr>
        <w:t>difference of (0.2±1.6) eV for the 24.3 keV transition energies determined by the ICES and gamma-ray methods demonstrates a reliability of the transition energy determination in the present work.</w:t>
      </w:r>
    </w:p>
    <w:p w14:paraId="351AB3B4" w14:textId="23E39E26" w:rsidR="004532DC" w:rsidRPr="00D3289B" w:rsidRDefault="009D1DA6" w:rsidP="009021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289B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036C63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investigation</w:t>
      </w:r>
      <w:r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removed </w:t>
      </w:r>
      <w:r w:rsidR="00464D9A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uncertainty in the multipolarity </w:t>
      </w:r>
      <w:r w:rsidR="00DE198E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character </w:t>
      </w:r>
      <w:r w:rsidR="00036C63" w:rsidRPr="00D3289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the 15.1 keV</w:t>
      </w:r>
      <w:r w:rsidR="00036C63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transition.</w:t>
      </w:r>
      <w:r w:rsidR="00963D7A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3DB3" w:rsidRPr="00D3289B">
        <w:rPr>
          <w:rFonts w:ascii="Times New Roman" w:hAnsi="Times New Roman" w:cs="Times New Roman"/>
          <w:sz w:val="28"/>
          <w:szCs w:val="28"/>
          <w:lang w:val="en-US"/>
        </w:rPr>
        <w:t>Determined</w:t>
      </w:r>
      <w:r w:rsidR="00AC52D9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="00523DB3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nonzero value of δ(E2/M1)</w:t>
      </w:r>
      <w:r w:rsidR="005F2040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parameter</w:t>
      </w:r>
      <w:r w:rsidR="00523DB3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5DF1" w:rsidRPr="00D3289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BA1DA7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the 9.2 keV transition </w:t>
      </w:r>
      <w:r w:rsidR="00523DB3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questioned the </w:t>
      </w:r>
      <w:r w:rsidR="00B72B39" w:rsidRPr="00D3289B"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="00523DB3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theoretical interpretation of low-lying levels of </w:t>
      </w:r>
      <w:r w:rsidR="00523DB3" w:rsidRPr="00D328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227</w:t>
      </w:r>
      <w:r w:rsidR="00523DB3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Th. </w:t>
      </w:r>
      <w:r w:rsidR="00813EEF" w:rsidRPr="00D3289B">
        <w:rPr>
          <w:rFonts w:ascii="Times New Roman" w:hAnsi="Times New Roman" w:cs="Times New Roman"/>
          <w:sz w:val="28"/>
          <w:szCs w:val="28"/>
          <w:lang w:val="en-US"/>
        </w:rPr>
        <w:t>Our c</w:t>
      </w:r>
      <w:r w:rsidR="00523DB3" w:rsidRPr="00D3289B">
        <w:rPr>
          <w:rFonts w:ascii="Times New Roman" w:hAnsi="Times New Roman" w:cs="Times New Roman"/>
          <w:sz w:val="28"/>
          <w:szCs w:val="28"/>
          <w:lang w:val="en-US"/>
        </w:rPr>
        <w:t>alculations</w:t>
      </w:r>
      <w:r w:rsidR="00826D5E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[4] </w:t>
      </w:r>
      <w:r w:rsidR="00523DB3" w:rsidRPr="00D3289B">
        <w:rPr>
          <w:rFonts w:ascii="Times New Roman" w:hAnsi="Times New Roman" w:cs="Times New Roman"/>
          <w:sz w:val="28"/>
          <w:szCs w:val="28"/>
          <w:lang w:val="en-US"/>
        </w:rPr>
        <w:t>prefer the 1/2</w:t>
      </w:r>
      <w:r w:rsidR="00523DB3" w:rsidRPr="00D328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523DB3" w:rsidRPr="00D3289B">
        <w:rPr>
          <w:rFonts w:ascii="Times New Roman" w:hAnsi="Times New Roman" w:cs="Times New Roman"/>
          <w:sz w:val="28"/>
          <w:szCs w:val="28"/>
          <w:lang w:val="en-US"/>
        </w:rPr>
        <w:t>, 3/2</w:t>
      </w:r>
      <w:r w:rsidR="00523DB3" w:rsidRPr="00D328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523DB3" w:rsidRPr="00D3289B">
        <w:rPr>
          <w:rFonts w:ascii="Times New Roman" w:hAnsi="Times New Roman" w:cs="Times New Roman"/>
          <w:sz w:val="28"/>
          <w:szCs w:val="28"/>
          <w:lang w:val="en-US"/>
        </w:rPr>
        <w:t>, and 3/2</w:t>
      </w:r>
      <w:r w:rsidR="00523DB3" w:rsidRPr="00D328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523DB3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sequence instead of the adopted 1/2</w:t>
      </w:r>
      <w:r w:rsidR="00523DB3" w:rsidRPr="00D328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523DB3" w:rsidRPr="00D3289B">
        <w:rPr>
          <w:rFonts w:ascii="Times New Roman" w:hAnsi="Times New Roman" w:cs="Times New Roman"/>
          <w:sz w:val="28"/>
          <w:szCs w:val="28"/>
          <w:lang w:val="en-US"/>
        </w:rPr>
        <w:t>, 5/2</w:t>
      </w:r>
      <w:r w:rsidR="00523DB3" w:rsidRPr="00D328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523DB3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and 3/2</w:t>
      </w:r>
      <w:r w:rsidR="00523DB3" w:rsidRPr="00D328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523DB3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one for the 0.0, 9.2, and 24.3 keV levels, respectively.</w:t>
      </w:r>
      <w:r w:rsidR="00FD3114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0BA2" w:rsidRPr="00D3289B">
        <w:rPr>
          <w:rFonts w:ascii="Times New Roman" w:hAnsi="Times New Roman" w:cs="Times New Roman"/>
          <w:sz w:val="28"/>
          <w:szCs w:val="28"/>
          <w:lang w:val="en-US"/>
        </w:rPr>
        <w:t>In such a case, t</w:t>
      </w:r>
      <w:r w:rsidR="00FD3114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he assignment </w:t>
      </w:r>
      <w:r w:rsidR="00243A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3AA0" w:rsidRPr="00243AA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π</w:t>
      </w:r>
      <w:r w:rsidR="00243AA0">
        <w:rPr>
          <w:rFonts w:ascii="Times New Roman" w:hAnsi="Times New Roman" w:cs="Times New Roman"/>
          <w:sz w:val="28"/>
          <w:szCs w:val="28"/>
          <w:lang w:val="en-US"/>
        </w:rPr>
        <w:t>=5/2</w:t>
      </w:r>
      <w:r w:rsidR="00243AA0" w:rsidRPr="00243AA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243A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3114" w:rsidRPr="00D3289B">
        <w:rPr>
          <w:rFonts w:ascii="Times New Roman" w:hAnsi="Times New Roman" w:cs="Times New Roman"/>
          <w:sz w:val="28"/>
          <w:szCs w:val="28"/>
          <w:lang w:val="en-US"/>
        </w:rPr>
        <w:t>for any of these levels is excluded.</w:t>
      </w:r>
      <w:r w:rsidR="005A76CE" w:rsidRPr="00D328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32DC" w:rsidRPr="00D3289B">
        <w:rPr>
          <w:rFonts w:ascii="Times New Roman" w:hAnsi="Times New Roman" w:cs="Times New Roman"/>
          <w:sz w:val="28"/>
          <w:szCs w:val="28"/>
          <w:lang w:val="en-US"/>
        </w:rPr>
        <w:t>Nevertheless, it is necessary to use more precise theoretical approaches to prove the proposed interpretation of the current experimental data. New experimental information on low-energy transitions connecting low-lying levels in similar nuclei is desirable as well.</w:t>
      </w:r>
    </w:p>
    <w:p w14:paraId="00C3A4DF" w14:textId="77777777" w:rsidR="007270C2" w:rsidRPr="007270C2" w:rsidRDefault="007270C2" w:rsidP="009D1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2DEFA0" w14:textId="180B741E" w:rsidR="005340DB" w:rsidRDefault="003A7D18" w:rsidP="005340D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021D3" w:rsidRPr="00AA4F9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34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40DB" w:rsidRPr="001B1A07">
        <w:rPr>
          <w:rFonts w:ascii="Times New Roman" w:hAnsi="Times New Roman" w:cs="Times New Roman"/>
          <w:sz w:val="24"/>
          <w:szCs w:val="24"/>
          <w:lang w:val="en-US"/>
        </w:rPr>
        <w:t xml:space="preserve">Ch. </w:t>
      </w:r>
      <w:proofErr w:type="spellStart"/>
      <w:r w:rsidR="005340DB" w:rsidRPr="001B1A07">
        <w:rPr>
          <w:rFonts w:ascii="Times New Roman" w:hAnsi="Times New Roman" w:cs="Times New Roman"/>
          <w:sz w:val="24"/>
          <w:szCs w:val="24"/>
          <w:lang w:val="en-US"/>
        </w:rPr>
        <w:t>Briançon</w:t>
      </w:r>
      <w:proofErr w:type="spellEnd"/>
      <w:r w:rsidR="00F300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21D3">
        <w:rPr>
          <w:rFonts w:ascii="Times New Roman" w:hAnsi="Times New Roman" w:cs="Times New Roman"/>
          <w:sz w:val="24"/>
          <w:szCs w:val="24"/>
          <w:lang w:val="sv-SE"/>
        </w:rPr>
        <w:t>et al</w:t>
      </w:r>
      <w:r w:rsidR="009021D3" w:rsidRPr="009021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009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21D3" w:rsidRPr="00902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40DB" w:rsidRPr="001B1A07">
        <w:rPr>
          <w:rFonts w:ascii="Times New Roman" w:hAnsi="Times New Roman" w:cs="Times New Roman"/>
          <w:sz w:val="24"/>
          <w:szCs w:val="24"/>
          <w:lang w:val="sv-SE"/>
        </w:rPr>
        <w:t xml:space="preserve">Nucl. </w:t>
      </w:r>
      <w:proofErr w:type="spellStart"/>
      <w:r w:rsidR="005340DB" w:rsidRPr="001B1A07">
        <w:rPr>
          <w:rFonts w:ascii="Times New Roman" w:hAnsi="Times New Roman" w:cs="Times New Roman"/>
          <w:sz w:val="24"/>
          <w:szCs w:val="24"/>
          <w:lang w:val="de-DE"/>
        </w:rPr>
        <w:t>Inst</w:t>
      </w:r>
      <w:proofErr w:type="spellEnd"/>
      <w:r w:rsidR="005340DB" w:rsidRPr="001B1A07">
        <w:rPr>
          <w:rFonts w:ascii="Times New Roman" w:hAnsi="Times New Roman" w:cs="Times New Roman"/>
          <w:sz w:val="24"/>
          <w:szCs w:val="24"/>
          <w:lang w:val="de-DE"/>
        </w:rPr>
        <w:t>. Meth</w:t>
      </w:r>
      <w:r w:rsidR="00090BAD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5340DB" w:rsidRPr="001B1A07">
        <w:rPr>
          <w:rFonts w:ascii="Times New Roman" w:hAnsi="Times New Roman" w:cs="Times New Roman"/>
          <w:sz w:val="24"/>
          <w:szCs w:val="24"/>
          <w:lang w:val="de-DE"/>
        </w:rPr>
        <w:t xml:space="preserve"> 221</w:t>
      </w:r>
      <w:r w:rsidR="005340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340DB" w:rsidRPr="001B1A07">
        <w:rPr>
          <w:rFonts w:ascii="Times New Roman" w:hAnsi="Times New Roman" w:cs="Times New Roman"/>
          <w:sz w:val="24"/>
          <w:szCs w:val="24"/>
          <w:lang w:val="de-DE"/>
        </w:rPr>
        <w:t>(1984)</w:t>
      </w:r>
      <w:r w:rsidR="005340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340DB" w:rsidRPr="001B1A07">
        <w:rPr>
          <w:rFonts w:ascii="Times New Roman" w:hAnsi="Times New Roman" w:cs="Times New Roman"/>
          <w:sz w:val="24"/>
          <w:szCs w:val="24"/>
          <w:lang w:val="de-DE"/>
        </w:rPr>
        <w:t>547.</w:t>
      </w:r>
    </w:p>
    <w:p w14:paraId="4557E800" w14:textId="50C352D1" w:rsidR="002B7A40" w:rsidRDefault="003A7D18" w:rsidP="005340DB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de-DE"/>
        </w:rPr>
        <w:t>2</w:t>
      </w:r>
      <w:r w:rsidR="009021D3" w:rsidRPr="00D3289B">
        <w:rPr>
          <w:rFonts w:ascii="Times New Roman" w:hAnsi="Times New Roman"/>
          <w:sz w:val="24"/>
          <w:szCs w:val="24"/>
          <w:lang w:val="de-DE"/>
        </w:rPr>
        <w:t>.</w:t>
      </w:r>
      <w:r w:rsidR="002B7A40" w:rsidRPr="002B7A40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2B7A40">
        <w:rPr>
          <w:rFonts w:ascii="Times New Roman" w:hAnsi="Times New Roman"/>
          <w:sz w:val="24"/>
          <w:szCs w:val="24"/>
          <w:lang w:val="cs-CZ"/>
        </w:rPr>
        <w:t xml:space="preserve">A. </w:t>
      </w:r>
      <w:proofErr w:type="spellStart"/>
      <w:r w:rsidR="002B7A40">
        <w:rPr>
          <w:rFonts w:ascii="Times New Roman" w:hAnsi="Times New Roman"/>
          <w:sz w:val="24"/>
          <w:szCs w:val="24"/>
          <w:lang w:val="cs-CZ"/>
        </w:rPr>
        <w:t>Inoyatov</w:t>
      </w:r>
      <w:proofErr w:type="spellEnd"/>
      <w:r w:rsidR="002B7A4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021D3">
        <w:rPr>
          <w:rFonts w:ascii="Times New Roman" w:hAnsi="Times New Roman" w:cs="Times New Roman"/>
          <w:sz w:val="24"/>
          <w:szCs w:val="24"/>
          <w:lang w:val="sv-SE"/>
        </w:rPr>
        <w:t>et al</w:t>
      </w:r>
      <w:r w:rsidR="009021D3" w:rsidRPr="009021D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F30091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2B7A40">
        <w:rPr>
          <w:rFonts w:ascii="Times New Roman" w:hAnsi="Times New Roman"/>
          <w:sz w:val="24"/>
          <w:szCs w:val="24"/>
          <w:lang w:val="cs-CZ"/>
        </w:rPr>
        <w:t xml:space="preserve"> J. Elect</w:t>
      </w:r>
      <w:r w:rsidR="009021D3" w:rsidRPr="009021D3">
        <w:rPr>
          <w:rFonts w:ascii="Times New Roman" w:hAnsi="Times New Roman"/>
          <w:sz w:val="24"/>
          <w:szCs w:val="24"/>
          <w:lang w:val="en-US"/>
        </w:rPr>
        <w:t>.</w:t>
      </w:r>
      <w:r w:rsidR="002B7A40">
        <w:rPr>
          <w:rFonts w:ascii="Times New Roman" w:hAnsi="Times New Roman"/>
          <w:sz w:val="24"/>
          <w:szCs w:val="24"/>
          <w:lang w:val="cs-CZ"/>
        </w:rPr>
        <w:t xml:space="preserve"> Spec. Relat. Phenom.</w:t>
      </w:r>
      <w:r w:rsidR="00090BAD">
        <w:rPr>
          <w:rFonts w:ascii="Times New Roman" w:hAnsi="Times New Roman"/>
          <w:sz w:val="24"/>
          <w:szCs w:val="24"/>
          <w:lang w:val="cs-CZ"/>
        </w:rPr>
        <w:t>,</w:t>
      </w:r>
      <w:r w:rsidR="002B7A4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B7A40" w:rsidRPr="00090BAD">
        <w:rPr>
          <w:rFonts w:ascii="Times New Roman" w:hAnsi="Times New Roman"/>
          <w:sz w:val="24"/>
          <w:szCs w:val="24"/>
          <w:lang w:val="cs-CZ"/>
        </w:rPr>
        <w:t>160</w:t>
      </w:r>
      <w:r w:rsidR="002B7A40">
        <w:rPr>
          <w:rFonts w:ascii="Times New Roman" w:hAnsi="Times New Roman"/>
          <w:sz w:val="24"/>
          <w:szCs w:val="24"/>
          <w:lang w:val="cs-CZ"/>
        </w:rPr>
        <w:t xml:space="preserve"> (2007)</w:t>
      </w:r>
      <w:r w:rsidR="00090BAD">
        <w:rPr>
          <w:rFonts w:ascii="Times New Roman" w:hAnsi="Times New Roman"/>
          <w:sz w:val="24"/>
          <w:szCs w:val="24"/>
          <w:lang w:val="cs-CZ"/>
        </w:rPr>
        <w:t xml:space="preserve"> 54</w:t>
      </w:r>
      <w:r w:rsidR="002B7A40">
        <w:rPr>
          <w:rFonts w:ascii="Times New Roman" w:hAnsi="Times New Roman"/>
          <w:sz w:val="24"/>
          <w:szCs w:val="24"/>
          <w:lang w:val="cs-CZ"/>
        </w:rPr>
        <w:t>.</w:t>
      </w:r>
    </w:p>
    <w:p w14:paraId="0A459920" w14:textId="1E5F7580" w:rsidR="002819B3" w:rsidRPr="00EA567F" w:rsidRDefault="00090BAD" w:rsidP="00281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3</w:t>
      </w:r>
      <w:r w:rsidR="009021D3" w:rsidRPr="009021D3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2819B3" w:rsidRPr="00EA567F">
        <w:rPr>
          <w:rFonts w:ascii="Times New Roman" w:hAnsi="Times New Roman" w:cs="Times New Roman"/>
          <w:sz w:val="24"/>
          <w:szCs w:val="24"/>
          <w:lang w:val="sv-SE"/>
        </w:rPr>
        <w:t xml:space="preserve"> A. Kovalík</w:t>
      </w:r>
      <w:r w:rsidR="00F3009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021D3">
        <w:rPr>
          <w:rFonts w:ascii="Times New Roman" w:hAnsi="Times New Roman" w:cs="Times New Roman"/>
          <w:sz w:val="24"/>
          <w:szCs w:val="24"/>
          <w:lang w:val="sv-SE"/>
        </w:rPr>
        <w:t>et al</w:t>
      </w:r>
      <w:r w:rsidR="009021D3" w:rsidRPr="009021D3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F30091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2819B3" w:rsidRPr="00EA567F">
        <w:rPr>
          <w:rFonts w:ascii="Times New Roman" w:hAnsi="Times New Roman" w:cs="Times New Roman"/>
          <w:sz w:val="24"/>
          <w:szCs w:val="24"/>
          <w:lang w:val="sv-SE"/>
        </w:rPr>
        <w:t xml:space="preserve"> Eur. Phys. J. A</w:t>
      </w:r>
      <w:r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2819B3" w:rsidRPr="00EA567F">
        <w:rPr>
          <w:rFonts w:ascii="Times New Roman" w:hAnsi="Times New Roman" w:cs="Times New Roman"/>
          <w:sz w:val="24"/>
          <w:szCs w:val="24"/>
          <w:lang w:val="sv-SE"/>
        </w:rPr>
        <w:t xml:space="preserve"> 55 (2019) 131.</w:t>
      </w:r>
    </w:p>
    <w:p w14:paraId="30D7A7DD" w14:textId="26E7FC27" w:rsidR="00F75971" w:rsidRPr="00A35CA7" w:rsidRDefault="00090BAD" w:rsidP="00023351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4</w:t>
      </w:r>
      <w:r w:rsidR="009021D3" w:rsidRPr="009021D3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F75971" w:rsidRPr="00A35CA7">
        <w:rPr>
          <w:rFonts w:ascii="Times New Roman" w:hAnsi="Times New Roman" w:cs="Times New Roman"/>
          <w:sz w:val="24"/>
          <w:szCs w:val="24"/>
          <w:lang w:val="sv-SE"/>
        </w:rPr>
        <w:t xml:space="preserve"> A. Kovalík</w:t>
      </w:r>
      <w:r w:rsidR="00F3009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021D3">
        <w:rPr>
          <w:rFonts w:ascii="Times New Roman" w:hAnsi="Times New Roman" w:cs="Times New Roman"/>
          <w:sz w:val="24"/>
          <w:szCs w:val="24"/>
          <w:lang w:val="sv-SE"/>
        </w:rPr>
        <w:t>et al</w:t>
      </w:r>
      <w:r w:rsidR="009021D3" w:rsidRPr="009021D3">
        <w:rPr>
          <w:rFonts w:ascii="Times New Roman" w:hAnsi="Times New Roman" w:cs="Times New Roman"/>
          <w:sz w:val="24"/>
          <w:szCs w:val="24"/>
          <w:lang w:val="sv-SE"/>
        </w:rPr>
        <w:t>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F75971" w:rsidRPr="00A35CA7">
        <w:rPr>
          <w:rFonts w:ascii="Times New Roman" w:hAnsi="Times New Roman" w:cs="Times New Roman"/>
          <w:sz w:val="24"/>
          <w:szCs w:val="24"/>
          <w:lang w:val="sv-SE"/>
        </w:rPr>
        <w:t>Phys. Lett. B, 820 (2021) 136593.</w:t>
      </w:r>
    </w:p>
    <w:p w14:paraId="127741CC" w14:textId="17868315" w:rsidR="00023351" w:rsidRPr="00931637" w:rsidRDefault="00931637" w:rsidP="00931637">
      <w:pPr>
        <w:pStyle w:val="PlainTex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lang w:val="cs-CZ"/>
        </w:rPr>
        <w:t>5</w:t>
      </w:r>
      <w:r w:rsidR="009021D3" w:rsidRPr="009021D3">
        <w:rPr>
          <w:rFonts w:ascii="Times New Roman" w:hAnsi="Times New Roman"/>
          <w:sz w:val="24"/>
          <w:lang w:val="sv-SE"/>
        </w:rPr>
        <w:t>.</w:t>
      </w:r>
      <w:r w:rsidR="00023351">
        <w:rPr>
          <w:rFonts w:ascii="Times New Roman" w:hAnsi="Times New Roman"/>
          <w:sz w:val="24"/>
          <w:lang w:val="cs-CZ"/>
        </w:rPr>
        <w:t xml:space="preserve"> </w:t>
      </w:r>
      <w:r w:rsidR="00023351" w:rsidRPr="007C5F5B">
        <w:rPr>
          <w:rFonts w:ascii="Times New Roman" w:hAnsi="Times New Roman"/>
          <w:sz w:val="24"/>
          <w:szCs w:val="24"/>
          <w:lang w:val="cs-CZ"/>
        </w:rPr>
        <w:t>A. Kovalík</w:t>
      </w:r>
      <w:r w:rsidR="00F3009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021D3">
        <w:rPr>
          <w:rFonts w:ascii="Times New Roman" w:hAnsi="Times New Roman"/>
          <w:sz w:val="24"/>
          <w:szCs w:val="24"/>
          <w:lang w:val="sv-SE"/>
        </w:rPr>
        <w:t>et al</w:t>
      </w:r>
      <w:r w:rsidR="009021D3" w:rsidRPr="009021D3">
        <w:rPr>
          <w:rFonts w:ascii="Times New Roman" w:hAnsi="Times New Roman"/>
          <w:sz w:val="24"/>
          <w:szCs w:val="24"/>
          <w:lang w:val="sv-SE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023351" w:rsidRPr="00931637">
        <w:rPr>
          <w:rFonts w:ascii="Times New Roman" w:hAnsi="Times New Roman"/>
          <w:sz w:val="24"/>
          <w:szCs w:val="24"/>
          <w:lang w:val="sv-SE"/>
        </w:rPr>
        <w:t>Eur. Phys. J. A, 57 (2021) 285</w:t>
      </w:r>
      <w:r w:rsidR="000C125A">
        <w:rPr>
          <w:rFonts w:ascii="Times New Roman" w:hAnsi="Times New Roman"/>
          <w:sz w:val="24"/>
          <w:szCs w:val="24"/>
          <w:lang w:val="sv-SE"/>
        </w:rPr>
        <w:t>.</w:t>
      </w:r>
    </w:p>
    <w:sectPr w:rsidR="00023351" w:rsidRPr="00931637" w:rsidSect="00243AA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C2"/>
    <w:rsid w:val="00015DF1"/>
    <w:rsid w:val="00023344"/>
    <w:rsid w:val="00023351"/>
    <w:rsid w:val="00036C63"/>
    <w:rsid w:val="00047DAD"/>
    <w:rsid w:val="00052A8C"/>
    <w:rsid w:val="000657F7"/>
    <w:rsid w:val="00086D21"/>
    <w:rsid w:val="00090BAD"/>
    <w:rsid w:val="00091B62"/>
    <w:rsid w:val="000A0F9C"/>
    <w:rsid w:val="000C1127"/>
    <w:rsid w:val="000C125A"/>
    <w:rsid w:val="000C324E"/>
    <w:rsid w:val="000D38AD"/>
    <w:rsid w:val="0011338D"/>
    <w:rsid w:val="00130623"/>
    <w:rsid w:val="00151CD8"/>
    <w:rsid w:val="001629E0"/>
    <w:rsid w:val="00171840"/>
    <w:rsid w:val="001829FC"/>
    <w:rsid w:val="001C5D81"/>
    <w:rsid w:val="001E4472"/>
    <w:rsid w:val="00206795"/>
    <w:rsid w:val="00243AA0"/>
    <w:rsid w:val="00247598"/>
    <w:rsid w:val="002819B3"/>
    <w:rsid w:val="002B7A40"/>
    <w:rsid w:val="002C3268"/>
    <w:rsid w:val="002E61DE"/>
    <w:rsid w:val="00352147"/>
    <w:rsid w:val="00382BC6"/>
    <w:rsid w:val="00392D43"/>
    <w:rsid w:val="003968D8"/>
    <w:rsid w:val="003A5F72"/>
    <w:rsid w:val="003A7D18"/>
    <w:rsid w:val="003E2942"/>
    <w:rsid w:val="003F3BB3"/>
    <w:rsid w:val="00401C1F"/>
    <w:rsid w:val="0041361D"/>
    <w:rsid w:val="00444A2F"/>
    <w:rsid w:val="00447547"/>
    <w:rsid w:val="004532DC"/>
    <w:rsid w:val="00455400"/>
    <w:rsid w:val="00464D9A"/>
    <w:rsid w:val="0047461F"/>
    <w:rsid w:val="004A0D6E"/>
    <w:rsid w:val="004C58CF"/>
    <w:rsid w:val="004C68CE"/>
    <w:rsid w:val="004D3DDD"/>
    <w:rsid w:val="004D5C8D"/>
    <w:rsid w:val="00503495"/>
    <w:rsid w:val="005109E7"/>
    <w:rsid w:val="00523DB3"/>
    <w:rsid w:val="00533918"/>
    <w:rsid w:val="005340DB"/>
    <w:rsid w:val="0055331D"/>
    <w:rsid w:val="00564049"/>
    <w:rsid w:val="00564875"/>
    <w:rsid w:val="00564C28"/>
    <w:rsid w:val="0056678E"/>
    <w:rsid w:val="005A76CE"/>
    <w:rsid w:val="005C314D"/>
    <w:rsid w:val="005F0D2A"/>
    <w:rsid w:val="005F2040"/>
    <w:rsid w:val="006109A4"/>
    <w:rsid w:val="00652346"/>
    <w:rsid w:val="00683468"/>
    <w:rsid w:val="00696030"/>
    <w:rsid w:val="006A3DFE"/>
    <w:rsid w:val="006B27AC"/>
    <w:rsid w:val="006B473F"/>
    <w:rsid w:val="006B49DC"/>
    <w:rsid w:val="006C0566"/>
    <w:rsid w:val="006C5AE6"/>
    <w:rsid w:val="00705980"/>
    <w:rsid w:val="00714F0E"/>
    <w:rsid w:val="007270C2"/>
    <w:rsid w:val="00740BA2"/>
    <w:rsid w:val="00775D9F"/>
    <w:rsid w:val="00784E09"/>
    <w:rsid w:val="007936CA"/>
    <w:rsid w:val="007C0017"/>
    <w:rsid w:val="007C3365"/>
    <w:rsid w:val="007D0E9F"/>
    <w:rsid w:val="007E3E06"/>
    <w:rsid w:val="00802F2F"/>
    <w:rsid w:val="00804AA0"/>
    <w:rsid w:val="0080609D"/>
    <w:rsid w:val="00813EEF"/>
    <w:rsid w:val="0081549D"/>
    <w:rsid w:val="00826D5E"/>
    <w:rsid w:val="00871191"/>
    <w:rsid w:val="0088210D"/>
    <w:rsid w:val="008907C1"/>
    <w:rsid w:val="0089710C"/>
    <w:rsid w:val="008C0EFD"/>
    <w:rsid w:val="008C2764"/>
    <w:rsid w:val="008C4354"/>
    <w:rsid w:val="008D1FC2"/>
    <w:rsid w:val="009021D3"/>
    <w:rsid w:val="00931637"/>
    <w:rsid w:val="00963D7A"/>
    <w:rsid w:val="0098586A"/>
    <w:rsid w:val="00996880"/>
    <w:rsid w:val="009C40DB"/>
    <w:rsid w:val="009D1DA6"/>
    <w:rsid w:val="00A16151"/>
    <w:rsid w:val="00A31EC8"/>
    <w:rsid w:val="00A35CA7"/>
    <w:rsid w:val="00A43481"/>
    <w:rsid w:val="00A468E7"/>
    <w:rsid w:val="00A578B1"/>
    <w:rsid w:val="00AA4F93"/>
    <w:rsid w:val="00AB1AF0"/>
    <w:rsid w:val="00AC1648"/>
    <w:rsid w:val="00AC52D9"/>
    <w:rsid w:val="00AD2281"/>
    <w:rsid w:val="00AD7FE8"/>
    <w:rsid w:val="00AE2786"/>
    <w:rsid w:val="00AF47A0"/>
    <w:rsid w:val="00B0276C"/>
    <w:rsid w:val="00B518FE"/>
    <w:rsid w:val="00B72B39"/>
    <w:rsid w:val="00BA1DA7"/>
    <w:rsid w:val="00BB4396"/>
    <w:rsid w:val="00BF297C"/>
    <w:rsid w:val="00BF7CCD"/>
    <w:rsid w:val="00C119CA"/>
    <w:rsid w:val="00C528E3"/>
    <w:rsid w:val="00C94E97"/>
    <w:rsid w:val="00CB096C"/>
    <w:rsid w:val="00CB0E4E"/>
    <w:rsid w:val="00CB72D0"/>
    <w:rsid w:val="00CC2425"/>
    <w:rsid w:val="00CE60C3"/>
    <w:rsid w:val="00D2053D"/>
    <w:rsid w:val="00D3289B"/>
    <w:rsid w:val="00D524E1"/>
    <w:rsid w:val="00D64A50"/>
    <w:rsid w:val="00D66698"/>
    <w:rsid w:val="00D7068B"/>
    <w:rsid w:val="00D70EE6"/>
    <w:rsid w:val="00D73252"/>
    <w:rsid w:val="00D75944"/>
    <w:rsid w:val="00DA6B2C"/>
    <w:rsid w:val="00DB500A"/>
    <w:rsid w:val="00DE198E"/>
    <w:rsid w:val="00E11E8D"/>
    <w:rsid w:val="00E21DEB"/>
    <w:rsid w:val="00E4691D"/>
    <w:rsid w:val="00E7128F"/>
    <w:rsid w:val="00E81880"/>
    <w:rsid w:val="00EA178D"/>
    <w:rsid w:val="00F013B4"/>
    <w:rsid w:val="00F2046F"/>
    <w:rsid w:val="00F22D60"/>
    <w:rsid w:val="00F30091"/>
    <w:rsid w:val="00F429EE"/>
    <w:rsid w:val="00F55653"/>
    <w:rsid w:val="00F55EDE"/>
    <w:rsid w:val="00F62D20"/>
    <w:rsid w:val="00F75971"/>
    <w:rsid w:val="00F90103"/>
    <w:rsid w:val="00F90306"/>
    <w:rsid w:val="00FA0354"/>
    <w:rsid w:val="00FA18DE"/>
    <w:rsid w:val="00FA4081"/>
    <w:rsid w:val="00FA537C"/>
    <w:rsid w:val="00FD3114"/>
    <w:rsid w:val="00FE5AF5"/>
    <w:rsid w:val="00FE7C0F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3408"/>
  <w15:chartTrackingRefBased/>
  <w15:docId w15:val="{81148178-7624-466A-9EFE-1A1287FC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qFormat/>
    <w:rsid w:val="00EA178D"/>
  </w:style>
  <w:style w:type="paragraph" w:styleId="PlainText">
    <w:name w:val="Plain Text"/>
    <w:basedOn w:val="Normal"/>
    <w:link w:val="PlainTextChar"/>
    <w:rsid w:val="000233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02335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</cp:revision>
  <dcterms:created xsi:type="dcterms:W3CDTF">2022-03-23T07:09:00Z</dcterms:created>
  <dcterms:modified xsi:type="dcterms:W3CDTF">2022-03-23T09:17:00Z</dcterms:modified>
</cp:coreProperties>
</file>