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1"/>
        <w:widowControl w:val="false"/>
        <w:jc w:val="center"/>
        <w:rPr/>
      </w:pPr>
      <w:r>
        <w:rPr>
          <w:b/>
          <w:bCs w:val="false"/>
          <w:caps w:val="false"/>
          <w:smallCaps w:val="false"/>
          <w:sz w:val="32"/>
          <w:szCs w:val="32"/>
          <w:lang w:val="en-US"/>
        </w:rPr>
        <w:t>(</w:t>
      </w:r>
      <w:r>
        <w:rPr>
          <w:b/>
          <w:bCs w:val="false"/>
          <w:i/>
          <w:iCs/>
          <w:caps w:val="false"/>
          <w:smallCaps w:val="false"/>
          <w:sz w:val="32"/>
          <w:szCs w:val="32"/>
          <w:lang w:val="en-US"/>
        </w:rPr>
        <w:t>α</w:t>
      </w:r>
      <w:r>
        <w:rPr>
          <w:b/>
          <w:bCs w:val="false"/>
          <w:caps w:val="false"/>
          <w:smallCaps w:val="false"/>
          <w:sz w:val="32"/>
          <w:szCs w:val="32"/>
          <w:lang w:val="en-US"/>
        </w:rPr>
        <w:t>,</w:t>
      </w:r>
      <w:r>
        <w:rPr>
          <w:b/>
          <w:bCs w:val="false"/>
          <w:i/>
          <w:iCs/>
          <w:caps w:val="false"/>
          <w:smallCaps w:val="false"/>
          <w:sz w:val="32"/>
          <w:szCs w:val="32"/>
          <w:lang w:val="en-US"/>
        </w:rPr>
        <w:t>n</w:t>
      </w:r>
      <w:r>
        <w:rPr>
          <w:b/>
          <w:bCs w:val="false"/>
          <w:caps w:val="false"/>
          <w:smallCaps w:val="false"/>
          <w:sz w:val="32"/>
          <w:szCs w:val="32"/>
          <w:lang w:val="en-US"/>
        </w:rPr>
        <w:t>) AND (</w:t>
      </w:r>
      <w:r>
        <w:rPr>
          <w:b/>
          <w:bCs w:val="false"/>
          <w:i/>
          <w:iCs/>
          <w:caps w:val="false"/>
          <w:smallCaps w:val="false"/>
          <w:sz w:val="32"/>
          <w:szCs w:val="32"/>
          <w:lang w:val="en-US"/>
        </w:rPr>
        <w:t>α</w:t>
      </w:r>
      <w:r>
        <w:rPr>
          <w:b/>
          <w:bCs w:val="false"/>
          <w:caps w:val="false"/>
          <w:smallCaps w:val="false"/>
          <w:sz w:val="32"/>
          <w:szCs w:val="32"/>
          <w:lang w:val="en-US"/>
        </w:rPr>
        <w:t>,</w:t>
      </w:r>
      <w:r>
        <w:rPr>
          <w:b/>
          <w:bCs w:val="false"/>
          <w:i/>
          <w:iCs/>
          <w:caps w:val="false"/>
          <w:smallCaps w:val="false"/>
          <w:sz w:val="32"/>
          <w:szCs w:val="32"/>
          <w:lang w:val="en-US"/>
        </w:rPr>
        <w:t>nγ</w:t>
      </w:r>
      <w:r>
        <w:rPr>
          <w:b/>
          <w:bCs w:val="false"/>
          <w:caps w:val="false"/>
          <w:smallCaps w:val="false"/>
          <w:sz w:val="32"/>
          <w:szCs w:val="32"/>
          <w:lang w:val="en-US"/>
        </w:rPr>
        <w:t>) YIELD CALCULATIONS WITH A NEW VERSION OF NeuCBOT FOR LOW BACKGROUND EXPERIMENTS</w:t>
      </w:r>
    </w:p>
    <w:p>
      <w:pPr>
        <w:pStyle w:val="Normal"/>
        <w:widowControl w:val="false"/>
        <w:jc w:val="center"/>
        <w:rPr>
          <w:lang w:val="en-US"/>
        </w:rPr>
      </w:pPr>
      <w:r>
        <w:rPr>
          <w:lang w:val="en-US"/>
        </w:rPr>
      </w:r>
    </w:p>
    <w:p>
      <w:pPr>
        <w:pStyle w:val="TableParagraph"/>
        <w:widowControl w:val="false"/>
        <w:ind w:left="104" w:right="85" w:hanging="0"/>
        <w:jc w:val="center"/>
        <w:rPr>
          <w:position w:val="0"/>
          <w:sz w:val="24"/>
          <w:vertAlign w:val="baseline"/>
        </w:rPr>
      </w:pPr>
      <w:r>
        <w:rPr>
          <w:rFonts w:cs="Times New Roman"/>
          <w:position w:val="0"/>
          <w:sz w:val="28"/>
          <w:sz w:val="28"/>
          <w:szCs w:val="28"/>
          <w:vertAlign w:val="baseline"/>
          <w:lang w:val="en-US"/>
        </w:rPr>
        <w:t>S. Westerdale</w:t>
      </w:r>
      <w:r>
        <w:rPr>
          <w:rFonts w:cs="Times New Roman"/>
          <w:sz w:val="28"/>
          <w:szCs w:val="28"/>
          <w:vertAlign w:val="superscript"/>
          <w:lang w:val="en-US"/>
        </w:rPr>
        <w:t>1,2</w:t>
      </w:r>
      <w:r>
        <w:rPr>
          <w:rFonts w:cs="Times New Roman"/>
          <w:position w:val="0"/>
          <w:sz w:val="28"/>
          <w:sz w:val="28"/>
          <w:szCs w:val="28"/>
          <w:vertAlign w:val="baseline"/>
          <w:lang w:val="en-US"/>
        </w:rPr>
        <w:t>, M. Gromov</w:t>
      </w:r>
      <w:r>
        <w:rPr>
          <w:rFonts w:cs="Times New Roman"/>
          <w:sz w:val="28"/>
          <w:szCs w:val="28"/>
          <w:vertAlign w:val="superscript"/>
          <w:lang w:val="en-US"/>
        </w:rPr>
        <w:t>3,4</w:t>
      </w:r>
      <w:r>
        <w:rPr>
          <w:rFonts w:cs="Times New Roman"/>
          <w:position w:val="0"/>
          <w:sz w:val="28"/>
          <w:sz w:val="28"/>
          <w:szCs w:val="28"/>
          <w:vertAlign w:val="baseline"/>
          <w:lang w:val="en-US"/>
        </w:rPr>
        <w:t>, A. Chepurnov</w:t>
      </w:r>
      <w:r>
        <w:rPr>
          <w:rFonts w:cs="Times New Roman"/>
          <w:sz w:val="28"/>
          <w:szCs w:val="28"/>
          <w:vertAlign w:val="superscript"/>
          <w:lang w:val="en-US"/>
        </w:rPr>
        <w:t>3</w:t>
      </w:r>
      <w:r>
        <w:rPr>
          <w:rFonts w:cs="Times New Roman"/>
          <w:position w:val="0"/>
          <w:sz w:val="28"/>
          <w:sz w:val="28"/>
          <w:szCs w:val="28"/>
          <w:vertAlign w:val="baseline"/>
          <w:lang w:val="en-US"/>
        </w:rPr>
        <w:t>, I. Goncharenko</w:t>
      </w:r>
      <w:r>
        <w:rPr>
          <w:rFonts w:cs="Times New Roman"/>
          <w:sz w:val="28"/>
          <w:szCs w:val="28"/>
          <w:vertAlign w:val="superscript"/>
          <w:lang w:val="en-US"/>
        </w:rPr>
        <w:t>5</w:t>
      </w:r>
    </w:p>
    <w:p>
      <w:pPr>
        <w:pStyle w:val="TableParagraph"/>
        <w:jc w:val="center"/>
        <w:rPr/>
      </w:pPr>
      <w:r>
        <w:rPr>
          <w:rStyle w:val="TITULO"/>
          <w:rFonts w:cs="Times New Roman"/>
          <w:b w:val="false"/>
          <w:i/>
          <w:caps w:val="false"/>
          <w:smallCaps w:val="false"/>
          <w:sz w:val="24"/>
          <w:szCs w:val="24"/>
          <w:vertAlign w:val="superscript"/>
        </w:rPr>
        <w:t>1</w:t>
      </w:r>
      <w:r>
        <w:rPr>
          <w:rStyle w:val="TITULO"/>
          <w:rFonts w:cs="Times New Roman"/>
          <w:b w:val="false"/>
          <w:i/>
          <w:caps w:val="false"/>
          <w:smallCaps w:val="false"/>
          <w:position w:val="0"/>
          <w:sz w:val="28"/>
          <w:sz w:val="24"/>
          <w:szCs w:val="24"/>
          <w:vertAlign w:val="baseline"/>
        </w:rPr>
        <w:t xml:space="preserve">INFN Cagliari, Cagliari, Italy; </w:t>
      </w:r>
      <w:r>
        <w:rPr>
          <w:rStyle w:val="TITULO"/>
          <w:rFonts w:cs="Times New Roman"/>
          <w:b w:val="false"/>
          <w:i/>
          <w:caps w:val="false"/>
          <w:smallCaps w:val="false"/>
          <w:sz w:val="24"/>
          <w:szCs w:val="24"/>
          <w:vertAlign w:val="superscript"/>
        </w:rPr>
        <w:t>2</w:t>
      </w:r>
      <w:r>
        <w:rPr>
          <w:rStyle w:val="TITULO"/>
          <w:rFonts w:cs="Times New Roman"/>
          <w:b w:val="false"/>
          <w:i/>
          <w:caps w:val="false"/>
          <w:smallCaps w:val="false"/>
          <w:position w:val="0"/>
          <w:sz w:val="28"/>
          <w:sz w:val="24"/>
          <w:szCs w:val="24"/>
          <w:vertAlign w:val="baseline"/>
        </w:rPr>
        <w:t xml:space="preserve">Physics Department, Princeton University, Princeton, New Jersey, USA; </w:t>
      </w:r>
      <w:r>
        <w:rPr>
          <w:rStyle w:val="Affiliations"/>
          <w:rFonts w:cs="Times New Roman"/>
          <w:sz w:val="24"/>
          <w:szCs w:val="24"/>
          <w:vertAlign w:val="superscript"/>
        </w:rPr>
        <w:t>3</w:t>
      </w:r>
      <w:r>
        <w:rPr>
          <w:rStyle w:val="Affiliations"/>
          <w:rFonts w:cs="Times New Roman"/>
          <w:position w:val="0"/>
          <w:sz w:val="22"/>
          <w:sz w:val="24"/>
          <w:szCs w:val="24"/>
          <w:vertAlign w:val="baseline"/>
        </w:rPr>
        <w:t xml:space="preserve">Lomonosov Moscow State University, Skobeltsyn Institute of Nuclear Physics, Moscow, Russia; </w:t>
      </w:r>
      <w:r>
        <w:rPr>
          <w:rFonts w:cs="Times New Roman"/>
          <w:i/>
          <w:sz w:val="24"/>
          <w:szCs w:val="24"/>
          <w:vertAlign w:val="superscript"/>
        </w:rPr>
        <w:t>4</w:t>
      </w:r>
      <w:r>
        <w:rPr>
          <w:rFonts w:cs="Times New Roman"/>
          <w:i/>
          <w:position w:val="0"/>
          <w:sz w:val="24"/>
          <w:sz w:val="24"/>
          <w:szCs w:val="24"/>
          <w:vertAlign w:val="baseline"/>
        </w:rPr>
        <w:t xml:space="preserve">Joint Institute for Nuclear Research, Dubna, Russia; </w:t>
      </w:r>
      <w:r>
        <w:rPr>
          <w:rStyle w:val="Affiliations"/>
          <w:rFonts w:cs="Times New Roman"/>
          <w:sz w:val="24"/>
          <w:szCs w:val="24"/>
          <w:vertAlign w:val="superscript"/>
          <w:lang w:val="en-US"/>
        </w:rPr>
        <w:t>5</w:t>
      </w:r>
      <w:r>
        <w:rPr>
          <w:rStyle w:val="Affiliations"/>
          <w:rFonts w:cs="Times New Roman"/>
          <w:position w:val="0"/>
          <w:sz w:val="22"/>
          <w:sz w:val="24"/>
          <w:szCs w:val="24"/>
          <w:vertAlign w:val="baseline"/>
          <w:lang w:val="en-US"/>
        </w:rPr>
        <w:t>Lomonosov Moscow State University, Faculty of Physics, Moscow, Russia</w:t>
      </w:r>
    </w:p>
    <w:p>
      <w:pPr>
        <w:pStyle w:val="Normal"/>
        <w:widowControl w:val="false"/>
        <w:tabs>
          <w:tab w:val="center" w:pos="4536" w:leader="none"/>
          <w:tab w:val="left" w:pos="6535" w:leader="none"/>
        </w:tabs>
        <w:jc w:val="center"/>
        <w:rPr/>
      </w:pPr>
      <w:r>
        <w:rPr>
          <w:rStyle w:val="Affiliations"/>
          <w:rFonts w:cs="Times New Roman"/>
          <w:i w:val="false"/>
          <w:iCs w:val="false"/>
          <w:position w:val="0"/>
          <w:sz w:val="22"/>
          <w:sz w:val="24"/>
          <w:szCs w:val="24"/>
          <w:vertAlign w:val="baseline"/>
          <w:lang w:val="en-US"/>
        </w:rPr>
        <w:t xml:space="preserve">E-mail: </w:t>
      </w:r>
      <w:sdt>
        <w:sdtPr>
          <w:text/>
          <w:alias w:val="E-mail"/>
        </w:sdtPr>
        <w:sdtContent>
          <w:r>
            <w:rPr>
              <w:rStyle w:val="Affiliations"/>
              <w:rFonts w:cs="Times New Roman"/>
              <w:i w:val="false"/>
              <w:iCs w:val="false"/>
              <w:position w:val="0"/>
              <w:sz w:val="22"/>
              <w:sz w:val="24"/>
              <w:szCs w:val="24"/>
              <w:vertAlign w:val="baseline"/>
              <w:lang w:val="en-GB"/>
            </w:rPr>
            <w:t>gromov</w:t>
          </w:r>
          <w:r>
            <w:rPr>
              <w:rStyle w:val="Email"/>
              <w:rFonts w:cs="Times New Roman"/>
              <w:i w:val="false"/>
              <w:iCs w:val="false"/>
              <w:position w:val="0"/>
              <w:sz w:val="24"/>
              <w:szCs w:val="24"/>
              <w:vertAlign w:val="baseline"/>
              <w:lang w:val="en-US"/>
            </w:rPr>
            <w:t>@physics.msu.ru</w:t>
          </w:r>
        </w:sdtContent>
      </w:sdt>
      <w:r>
        <w:rPr>
          <w:rStyle w:val="Presentation"/>
          <w:rFonts w:cs="Times New Roman"/>
          <w:i w:val="false"/>
          <w:iCs w:val="false"/>
          <w:szCs w:val="24"/>
          <w:lang w:val="en-US"/>
        </w:rPr>
        <w:t xml:space="preserve"> </w:t>
      </w:r>
    </w:p>
    <w:p>
      <w:pPr>
        <w:pStyle w:val="Normal"/>
        <w:widowControl w:val="false"/>
        <w:jc w:val="center"/>
        <w:rPr>
          <w:lang w:val="en-US"/>
        </w:rPr>
      </w:pPr>
      <w:r>
        <w:rPr>
          <w:lang w:val="en-US"/>
        </w:rPr>
      </w:r>
    </w:p>
    <w:p>
      <w:pPr>
        <w:pStyle w:val="TableParagraph"/>
        <w:widowControl w:val="false"/>
        <w:ind w:left="0" w:right="1" w:hanging="0"/>
        <w:jc w:val="both"/>
        <w:rPr/>
      </w:pPr>
      <w:r>
        <w:rPr>
          <w:rStyle w:val="PlaceholderText"/>
          <w:rFonts w:cs="Times New Roman"/>
          <w:color w:val="00000A"/>
          <w:sz w:val="28"/>
          <w:szCs w:val="28"/>
          <w:lang w:val="en-US"/>
        </w:rPr>
        <w:tab/>
        <w:t>Uranium and thorium are distributed in all natural materials surrounding us and, in particularly, in the construction materials of low background detectors. Therefore, the (</w:t>
      </w:r>
      <w:r>
        <w:rPr>
          <w:rStyle w:val="PlaceholderText"/>
          <w:rFonts w:cs="Times New Roman"/>
          <w:i/>
          <w:iCs/>
          <w:color w:val="00000A"/>
          <w:sz w:val="28"/>
          <w:szCs w:val="28"/>
          <w:lang w:val="en-US"/>
        </w:rPr>
        <w:t>α</w:t>
      </w:r>
      <w:r>
        <w:rPr>
          <w:rStyle w:val="PlaceholderText"/>
          <w:rFonts w:cs="Times New Roman"/>
          <w:color w:val="00000A"/>
          <w:sz w:val="28"/>
          <w:szCs w:val="28"/>
          <w:lang w:val="en-US"/>
        </w:rPr>
        <w:t>,</w:t>
      </w:r>
      <w:r>
        <w:rPr>
          <w:rStyle w:val="PlaceholderText"/>
          <w:rFonts w:cs="Times New Roman"/>
          <w:i/>
          <w:iCs/>
          <w:color w:val="00000A"/>
          <w:sz w:val="28"/>
          <w:szCs w:val="28"/>
          <w:lang w:val="en-US"/>
        </w:rPr>
        <w:t>n</w:t>
      </w:r>
      <w:r>
        <w:rPr>
          <w:rStyle w:val="PlaceholderText"/>
          <w:rFonts w:cs="Times New Roman"/>
          <w:color w:val="00000A"/>
          <w:sz w:val="28"/>
          <w:szCs w:val="28"/>
          <w:lang w:val="en-US"/>
        </w:rPr>
        <w:t>) and (</w:t>
      </w:r>
      <w:r>
        <w:rPr>
          <w:rStyle w:val="PlaceholderText"/>
          <w:rFonts w:cs="Times New Roman"/>
          <w:i/>
          <w:iCs/>
          <w:color w:val="00000A"/>
          <w:sz w:val="28"/>
          <w:szCs w:val="28"/>
          <w:lang w:val="en-US"/>
        </w:rPr>
        <w:t>α</w:t>
      </w:r>
      <w:r>
        <w:rPr>
          <w:rStyle w:val="PlaceholderText"/>
          <w:rFonts w:cs="Times New Roman"/>
          <w:color w:val="00000A"/>
          <w:sz w:val="28"/>
          <w:szCs w:val="28"/>
          <w:lang w:val="en-US"/>
        </w:rPr>
        <w:t>,</w:t>
      </w:r>
      <w:r>
        <w:rPr>
          <w:rStyle w:val="PlaceholderText"/>
          <w:rFonts w:cs="Times New Roman"/>
          <w:i/>
          <w:iCs/>
          <w:color w:val="00000A"/>
          <w:sz w:val="28"/>
          <w:szCs w:val="28"/>
          <w:lang w:val="en-US"/>
        </w:rPr>
        <w:t>nγ</w:t>
      </w:r>
      <w:r>
        <w:rPr>
          <w:rStyle w:val="PlaceholderText"/>
          <w:rFonts w:cs="Times New Roman"/>
          <w:color w:val="00000A"/>
          <w:sz w:val="28"/>
          <w:szCs w:val="28"/>
          <w:lang w:val="en-US"/>
        </w:rPr>
        <w:t xml:space="preserve">) reactions which occur as a result of </w:t>
      </w:r>
      <w:r>
        <w:rPr>
          <w:rStyle w:val="PlaceholderText"/>
          <w:rFonts w:cs="Times New Roman"/>
          <w:i/>
          <w:iCs/>
          <w:color w:val="00000A"/>
          <w:sz w:val="28"/>
          <w:szCs w:val="28"/>
          <w:lang w:val="en-US"/>
        </w:rPr>
        <w:t>α</w:t>
      </w:r>
      <w:r>
        <w:rPr>
          <w:rStyle w:val="PlaceholderText"/>
          <w:rFonts w:cs="Times New Roman"/>
          <w:color w:val="00000A"/>
          <w:sz w:val="28"/>
          <w:szCs w:val="28"/>
          <w:lang w:val="en-US"/>
        </w:rPr>
        <w:t xml:space="preserve">-decays of U, Th and their daughters generate intrinsic neutron and gamma backgrounds for the modern ultra-pure neutrino and dark matter detectors. To construct a low background </w:t>
      </w:r>
      <w:r>
        <w:rPr>
          <w:rStyle w:val="PlaceholderText"/>
          <w:rFonts w:cs="Times New Roman"/>
          <w:color w:val="00000A"/>
          <w:sz w:val="28"/>
          <w:szCs w:val="28"/>
          <w:lang w:val="en-GB"/>
        </w:rPr>
        <w:t>experimental setup,</w:t>
      </w:r>
      <w:r>
        <w:rPr>
          <w:rStyle w:val="PlaceholderText"/>
          <w:rFonts w:cs="Times New Roman"/>
          <w:color w:val="00000A"/>
          <w:sz w:val="28"/>
          <w:szCs w:val="28"/>
          <w:lang w:val="en-US"/>
        </w:rPr>
        <w:t xml:space="preserve"> selection of materials should be done on the basis of assays of the radionuclide relative concentrations and calculations of neutrons and gamma yields. The NeuCBOT program (Neutron Calculator Based On TALYS) can be used for the computation part. We present an updated version with new functionality namely use of partial cross sections for excited states of the daughter nucleus and calculation of the (</w:t>
      </w:r>
      <w:r>
        <w:rPr>
          <w:rStyle w:val="PlaceholderText"/>
          <w:rFonts w:cs="Times New Roman"/>
          <w:i/>
          <w:iCs/>
          <w:color w:val="00000A"/>
          <w:sz w:val="28"/>
          <w:szCs w:val="28"/>
          <w:lang w:val="en-US"/>
        </w:rPr>
        <w:t>α</w:t>
      </w:r>
      <w:r>
        <w:rPr>
          <w:rStyle w:val="PlaceholderText"/>
          <w:rFonts w:cs="Times New Roman"/>
          <w:color w:val="00000A"/>
          <w:sz w:val="28"/>
          <w:szCs w:val="28"/>
          <w:lang w:val="en-US"/>
        </w:rPr>
        <w:t>,</w:t>
      </w:r>
      <w:r>
        <w:rPr>
          <w:rStyle w:val="PlaceholderText"/>
          <w:rFonts w:cs="Times New Roman"/>
          <w:i/>
          <w:iCs/>
          <w:color w:val="00000A"/>
          <w:sz w:val="28"/>
          <w:szCs w:val="28"/>
          <w:lang w:val="en-US"/>
        </w:rPr>
        <w:t>nγ</w:t>
      </w:r>
      <w:r>
        <w:rPr>
          <w:rStyle w:val="PlaceholderText"/>
          <w:rFonts w:cs="Times New Roman"/>
          <w:color w:val="00000A"/>
          <w:sz w:val="28"/>
          <w:szCs w:val="28"/>
          <w:lang w:val="en-US"/>
        </w:rPr>
        <w:t xml:space="preserve">) reactions and the respective yields in addition to evaluation of the neutron yields in the </w:t>
      </w:r>
      <w:bookmarkStart w:id="0" w:name="__DdeLink__361_2119190516"/>
      <w:r>
        <w:rPr>
          <w:rStyle w:val="PlaceholderText"/>
          <w:rFonts w:cs="Times New Roman"/>
          <w:color w:val="00000A"/>
          <w:sz w:val="28"/>
          <w:szCs w:val="28"/>
          <w:lang w:val="en-US"/>
        </w:rPr>
        <w:t>(</w:t>
      </w:r>
      <w:r>
        <w:rPr>
          <w:rStyle w:val="PlaceholderText"/>
          <w:rFonts w:cs="Times New Roman"/>
          <w:i/>
          <w:iCs/>
          <w:color w:val="00000A"/>
          <w:sz w:val="28"/>
          <w:szCs w:val="28"/>
          <w:lang w:val="en-US"/>
        </w:rPr>
        <w:t>α</w:t>
      </w:r>
      <w:r>
        <w:rPr>
          <w:rStyle w:val="PlaceholderText"/>
          <w:rFonts w:cs="Times New Roman"/>
          <w:color w:val="00000A"/>
          <w:sz w:val="28"/>
          <w:szCs w:val="28"/>
          <w:lang w:val="en-US"/>
        </w:rPr>
        <w:t>,</w:t>
      </w:r>
      <w:r>
        <w:rPr>
          <w:rStyle w:val="PlaceholderText"/>
          <w:rFonts w:cs="Times New Roman"/>
          <w:i/>
          <w:iCs/>
          <w:color w:val="00000A"/>
          <w:sz w:val="28"/>
          <w:szCs w:val="28"/>
          <w:lang w:val="en-US"/>
        </w:rPr>
        <w:t>n</w:t>
      </w:r>
      <w:r>
        <w:rPr>
          <w:rStyle w:val="PlaceholderText"/>
          <w:rFonts w:cs="Times New Roman"/>
          <w:color w:val="00000A"/>
          <w:sz w:val="28"/>
          <w:szCs w:val="28"/>
          <w:lang w:val="en-US"/>
        </w:rPr>
        <w:t>)</w:t>
      </w:r>
      <w:bookmarkEnd w:id="0"/>
      <w:r>
        <w:rPr>
          <w:rStyle w:val="PlaceholderText"/>
          <w:rFonts w:cs="Times New Roman"/>
          <w:color w:val="00000A"/>
          <w:sz w:val="28"/>
          <w:szCs w:val="28"/>
          <w:lang w:val="en-US"/>
        </w:rPr>
        <w:t xml:space="preserve"> reactions. Also, </w:t>
      </w:r>
      <w:r>
        <w:rPr>
          <w:rStyle w:val="PlaceholderText"/>
          <w:rFonts w:cs="Times New Roman"/>
          <w:color w:val="00000A"/>
          <w:sz w:val="28"/>
          <w:szCs w:val="28"/>
          <w:lang w:val="en-US"/>
        </w:rPr>
        <w:t xml:space="preserve">a </w:t>
      </w:r>
      <w:r>
        <w:rPr>
          <w:rStyle w:val="PlaceholderText"/>
          <w:rFonts w:cs="Times New Roman"/>
          <w:color w:val="00000A"/>
          <w:sz w:val="28"/>
          <w:szCs w:val="28"/>
          <w:lang w:val="en-US"/>
        </w:rPr>
        <w:t>selection of different databases (</w:t>
      </w:r>
      <w:bookmarkStart w:id="1" w:name="__DdeLink__412_2750215150"/>
      <w:r>
        <w:rPr>
          <w:rStyle w:val="PlaceholderText"/>
          <w:rFonts w:cs="Times New Roman"/>
          <w:color w:val="00000A"/>
          <w:sz w:val="28"/>
          <w:szCs w:val="28"/>
          <w:lang w:val="en-US"/>
        </w:rPr>
        <w:t>T</w:t>
      </w:r>
      <w:r>
        <w:rPr>
          <w:rStyle w:val="PlaceholderText"/>
          <w:rFonts w:cs="Times New Roman"/>
          <w:color w:val="00000A"/>
          <w:sz w:val="28"/>
          <w:szCs w:val="28"/>
          <w:lang w:val="en-US"/>
        </w:rPr>
        <w:t>ENDL</w:t>
      </w:r>
      <w:bookmarkEnd w:id="1"/>
      <w:r>
        <w:rPr>
          <w:rStyle w:val="PlaceholderText"/>
          <w:rFonts w:cs="Times New Roman"/>
          <w:color w:val="00000A"/>
          <w:sz w:val="28"/>
          <w:szCs w:val="28"/>
          <w:lang w:val="en-US"/>
        </w:rPr>
        <w:t>, JENDL) and a graphical interface were added to the program. We repeated validation comparisons with other (</w:t>
      </w:r>
      <w:r>
        <w:rPr>
          <w:rStyle w:val="PlaceholderText"/>
          <w:rFonts w:cs="Times New Roman"/>
          <w:i/>
          <w:iCs/>
          <w:color w:val="00000A"/>
          <w:sz w:val="28"/>
          <w:szCs w:val="28"/>
          <w:lang w:val="en-US"/>
        </w:rPr>
        <w:t>α</w:t>
      </w:r>
      <w:r>
        <w:rPr>
          <w:rStyle w:val="PlaceholderText"/>
          <w:rFonts w:cs="Times New Roman"/>
          <w:color w:val="00000A"/>
          <w:sz w:val="28"/>
          <w:szCs w:val="28"/>
          <w:lang w:val="en-US"/>
        </w:rPr>
        <w:t>,</w:t>
      </w:r>
      <w:r>
        <w:rPr>
          <w:rStyle w:val="PlaceholderText"/>
          <w:rFonts w:cs="Times New Roman"/>
          <w:i/>
          <w:iCs/>
          <w:color w:val="00000A"/>
          <w:sz w:val="28"/>
          <w:szCs w:val="28"/>
          <w:lang w:val="en-US"/>
        </w:rPr>
        <w:t>n</w:t>
      </w:r>
      <w:r>
        <w:rPr>
          <w:rStyle w:val="PlaceholderText"/>
          <w:rFonts w:cs="Times New Roman"/>
          <w:color w:val="00000A"/>
          <w:sz w:val="28"/>
          <w:szCs w:val="28"/>
          <w:lang w:val="en-US"/>
        </w:rPr>
        <w:t>) data coming from measurements and calculations. A list of results of the neutron and gamma background estimations for many materials commonly used in low background detector was prepared. Among others the list includes plastics doped by gadolinium</w:t>
      </w:r>
      <w:r>
        <w:rPr>
          <w:rStyle w:val="PlaceholderText"/>
          <w:rFonts w:cs="Times New Roman"/>
          <w:color w:val="00000A"/>
          <w:sz w:val="28"/>
          <w:szCs w:val="28"/>
          <w:lang w:val="en-GB"/>
        </w:rPr>
        <w:t>,</w:t>
      </w:r>
      <w:r>
        <w:rPr>
          <w:rStyle w:val="PlaceholderText"/>
          <w:rFonts w:cs="Times New Roman"/>
          <w:color w:val="00000A"/>
          <w:sz w:val="28"/>
          <w:szCs w:val="28"/>
          <w:lang w:val="en-US"/>
        </w:rPr>
        <w:t xml:space="preserve"> structural plastics and construction titanium of various grades</w:t>
      </w:r>
      <w:r>
        <w:rPr>
          <w:rStyle w:val="PlaceholderText"/>
          <w:rFonts w:cs="Times New Roman"/>
          <w:color w:val="00000A"/>
          <w:sz w:val="28"/>
          <w:szCs w:val="28"/>
          <w:lang w:val="en-GB"/>
        </w:rPr>
        <w:t>.</w:t>
      </w:r>
    </w:p>
    <w:p>
      <w:pPr>
        <w:pStyle w:val="Normal"/>
        <w:widowControl w:val="false"/>
        <w:jc w:val="center"/>
        <w:rPr/>
      </w:pPr>
      <w:r>
        <w:rPr/>
      </w:r>
    </w:p>
    <w:sectPr>
      <w:headerReference w:type="default" r:id="rId2"/>
      <w:footerReference w:type="default" r:id="rId3"/>
      <w:type w:val="nextPage"/>
      <w:pgSz w:w="11906" w:h="16838"/>
      <w:pgMar w:left="1701" w:right="1134" w:header="720" w:top="1134"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rPr/>
    </w:pPr>
    <w:r>
      <w:rPr/>
    </w:r>
  </w:p>
</w:hdr>
</file>

<file path=word/settings.xml><?xml version="1.0" encoding="utf-8"?>
<w:settings xmlns:w="http://schemas.openxmlformats.org/wordprocessingml/2006/main">
  <w:zoom w:percent="130"/>
  <w:embedSystemFont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99"/>
    <w:semiHidden/>
    <w:qFormat/>
    <w:rPr/>
  </w:style>
  <w:style w:type="character" w:styleId="HeaderChar" w:customStyle="1">
    <w:name w:val="Header Char"/>
    <w:basedOn w:val="DefaultParagraphFont"/>
    <w:link w:val="Header"/>
    <w:uiPriority w:val="99"/>
    <w:qFormat/>
    <w:locked/>
    <w:rsid w:val="004061c2"/>
    <w:rPr>
      <w:sz w:val="24"/>
      <w:lang w:val="ru-RU" w:eastAsia="ru-RU"/>
    </w:rPr>
  </w:style>
  <w:style w:type="character" w:styleId="FooterChar" w:customStyle="1">
    <w:name w:val="Footer Char"/>
    <w:basedOn w:val="DefaultParagraphFont"/>
    <w:link w:val="Footer"/>
    <w:uiPriority w:val="99"/>
    <w:qFormat/>
    <w:locked/>
    <w:rsid w:val="004061c2"/>
    <w:rPr>
      <w:sz w:val="24"/>
      <w:lang w:val="ru-RU" w:eastAsia="ru-RU"/>
    </w:rPr>
  </w:style>
  <w:style w:type="character" w:styleId="Affiliations">
    <w:name w:val="Affiliations"/>
    <w:basedOn w:val="DefaultParagraphFont"/>
    <w:qFormat/>
    <w:rPr>
      <w:rFonts w:ascii="Times New Roman" w:hAnsi="Times New Roman"/>
      <w:i/>
      <w:caps w:val="false"/>
      <w:smallCaps w:val="false"/>
      <w:strike w:val="false"/>
      <w:dstrike w:val="false"/>
      <w:vanish w:val="false"/>
      <w:sz w:val="22"/>
    </w:rPr>
  </w:style>
  <w:style w:type="character" w:styleId="TITULO">
    <w:name w:val="TITULO"/>
    <w:basedOn w:val="DefaultParagraphFont"/>
    <w:qFormat/>
    <w:rPr>
      <w:rFonts w:ascii="Times New Roman" w:hAnsi="Times New Roman"/>
      <w:b/>
      <w:caps/>
      <w:strike w:val="false"/>
      <w:dstrike w:val="false"/>
      <w:vanish w:val="false"/>
      <w:sz w:val="28"/>
    </w:rPr>
  </w:style>
  <w:style w:type="character" w:styleId="Email">
    <w:name w:val="E-mail"/>
    <w:basedOn w:val="DefaultParagraphFont"/>
    <w:qFormat/>
    <w:rPr>
      <w:rFonts w:ascii="Times New Roman" w:hAnsi="Times New Roman"/>
      <w:sz w:val="24"/>
    </w:rPr>
  </w:style>
  <w:style w:type="character" w:styleId="Presentation">
    <w:name w:val="Presentation"/>
    <w:basedOn w:val="DefaultParagraphFont"/>
    <w:qFormat/>
    <w:rPr>
      <w:rFonts w:ascii="Times New Roman" w:hAnsi="Times New Roman"/>
      <w:caps/>
      <w:strike w:val="false"/>
      <w:dstrike w:val="false"/>
      <w:vanish w:val="false"/>
      <w:color w:val="000000" w:themeColor="text1"/>
      <w:position w:val="0"/>
      <w:sz w:val="24"/>
      <w:sz w:val="24"/>
      <w:vertAlign w:val="baseline"/>
    </w:rPr>
  </w:style>
  <w:style w:type="character" w:styleId="PlaceholderText">
    <w:name w:val="Placeholder Text"/>
    <w:basedOn w:val="DefaultParagraphFont"/>
    <w:qFormat/>
    <w:rPr>
      <w:color w:val="808080"/>
    </w:rPr>
  </w:style>
  <w:style w:type="paragraph" w:styleId="Style14">
    <w:name w:val="Заголовок"/>
    <w:basedOn w:val="Normal"/>
    <w:next w:val="Style15"/>
    <w:qFormat/>
    <w:pPr>
      <w:keepNext w:val="true"/>
      <w:spacing w:before="240" w:after="120"/>
    </w:pPr>
    <w:rPr>
      <w:rFonts w:ascii="Liberation Sans" w:hAnsi="Liberation Sans" w:eastAsia="AR PL SungtiL GB"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Style19">
    <w:name w:val="Header"/>
    <w:basedOn w:val="Normal"/>
    <w:link w:val="HeaderChar"/>
    <w:uiPriority w:val="99"/>
    <w:unhideWhenUsed/>
    <w:rsid w:val="004061c2"/>
    <w:pPr>
      <w:tabs>
        <w:tab w:val="center" w:pos="4844" w:leader="none"/>
        <w:tab w:val="right" w:pos="9689" w:leader="none"/>
      </w:tabs>
    </w:pPr>
    <w:rPr/>
  </w:style>
  <w:style w:type="paragraph" w:styleId="Style20">
    <w:name w:val="Footer"/>
    <w:basedOn w:val="Normal"/>
    <w:link w:val="FooterChar"/>
    <w:uiPriority w:val="99"/>
    <w:unhideWhenUsed/>
    <w:rsid w:val="004061c2"/>
    <w:pPr>
      <w:tabs>
        <w:tab w:val="center" w:pos="4844" w:leader="none"/>
        <w:tab w:val="right" w:pos="9689" w:leader="none"/>
      </w:tabs>
    </w:pPr>
    <w:rPr/>
  </w:style>
  <w:style w:type="paragraph" w:styleId="Ttulo1">
    <w:name w:val="Título1"/>
    <w:basedOn w:val="Normal"/>
    <w:qFormat/>
    <w:pPr/>
    <w:rPr>
      <w:rFonts w:ascii="Times New Roman" w:hAnsi="Times New Roman" w:cs="TimesNewRomanPS-BoldMT"/>
      <w:b/>
      <w:bCs/>
      <w:caps/>
      <w:sz w:val="28"/>
      <w:szCs w:val="28"/>
    </w:rPr>
  </w:style>
  <w:style w:type="paragraph" w:styleId="TableParagraph">
    <w:name w:val="Table Paragraph"/>
    <w:basedOn w:val="Normal"/>
    <w:qFormat/>
    <w:pPr>
      <w:ind w:left="110" w:right="1" w:hanging="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Application>LibreOffice/6.0.7.3$Linux_X86_64 LibreOffice_project/00m0$Build-3</Application>
  <Pages>1</Pages>
  <Words>277</Words>
  <Characters>1652</Characters>
  <CharactersWithSpaces>1926</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2022-01-27T13:25:00Z</dcterms:created>
  <dc:creator/>
  <dc:description/>
  <dc:language>ru-RU</dc:language>
  <cp:lastModifiedBy/>
  <dcterms:modified xsi:type="dcterms:W3CDTF">2022-03-31T12:20:20Z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