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D8" w:rsidRPr="008935D8" w:rsidRDefault="008935D8" w:rsidP="008935D8">
      <w:pPr>
        <w:widowControl w:val="0"/>
        <w:jc w:val="center"/>
        <w:rPr>
          <w:b/>
          <w:sz w:val="32"/>
          <w:szCs w:val="32"/>
          <w:lang w:val="en-US"/>
        </w:rPr>
      </w:pPr>
      <w:r w:rsidRPr="008935D8">
        <w:rPr>
          <w:b/>
          <w:sz w:val="32"/>
          <w:szCs w:val="32"/>
          <w:lang w:val="en-US"/>
        </w:rPr>
        <w:t xml:space="preserve">Analysis of </w:t>
      </w:r>
      <w:r>
        <w:rPr>
          <w:b/>
          <w:sz w:val="32"/>
          <w:szCs w:val="32"/>
          <w:lang w:val="en-US"/>
        </w:rPr>
        <w:t>cell response to ultrahigh dose</w:t>
      </w:r>
      <w:r w:rsidRPr="008935D8">
        <w:rPr>
          <w:b/>
          <w:sz w:val="32"/>
          <w:szCs w:val="32"/>
          <w:lang w:val="en-US"/>
        </w:rPr>
        <w:t>-rate proton irradiation</w:t>
      </w:r>
    </w:p>
    <w:p w:rsidR="000F4253" w:rsidRDefault="000F4253" w:rsidP="008935D8">
      <w:pPr>
        <w:widowControl w:val="0"/>
        <w:jc w:val="center"/>
        <w:rPr>
          <w:sz w:val="28"/>
          <w:szCs w:val="28"/>
          <w:lang w:val="en-US"/>
        </w:rPr>
      </w:pPr>
    </w:p>
    <w:p w:rsidR="008935D8" w:rsidRDefault="00B90841" w:rsidP="008935D8">
      <w:pPr>
        <w:widowControl w:val="0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S.V.</w:t>
      </w:r>
      <w:r w:rsidR="008935D8" w:rsidRPr="008935D8">
        <w:rPr>
          <w:sz w:val="28"/>
          <w:szCs w:val="28"/>
          <w:lang w:val="en-US"/>
        </w:rPr>
        <w:t>Akulinichev</w:t>
      </w:r>
      <w:r w:rsidR="008935D8" w:rsidRPr="008935D8">
        <w:rPr>
          <w:sz w:val="28"/>
          <w:szCs w:val="28"/>
          <w:vertAlign w:val="superscript"/>
          <w:lang w:val="en-US"/>
        </w:rPr>
        <w:t>1</w:t>
      </w:r>
      <w:proofErr w:type="gramStart"/>
      <w:r w:rsidR="008935D8" w:rsidRPr="008935D8">
        <w:rPr>
          <w:sz w:val="28"/>
          <w:szCs w:val="28"/>
          <w:vertAlign w:val="superscript"/>
          <w:lang w:val="en-US"/>
        </w:rPr>
        <w:t>,2</w:t>
      </w:r>
      <w:proofErr w:type="gramEnd"/>
      <w:r>
        <w:rPr>
          <w:sz w:val="28"/>
          <w:szCs w:val="28"/>
          <w:lang w:val="en-US"/>
        </w:rPr>
        <w:t>, S.I.</w:t>
      </w:r>
      <w:r w:rsidR="008935D8" w:rsidRPr="008935D8">
        <w:rPr>
          <w:sz w:val="28"/>
          <w:szCs w:val="28"/>
          <w:lang w:val="en-US"/>
        </w:rPr>
        <w:t>Glukhov</w:t>
      </w:r>
      <w:r w:rsidR="008935D8" w:rsidRPr="008935D8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, E.A.</w:t>
      </w:r>
      <w:r w:rsidR="008935D8" w:rsidRPr="008935D8">
        <w:rPr>
          <w:sz w:val="28"/>
          <w:szCs w:val="28"/>
          <w:lang w:val="en-US"/>
        </w:rPr>
        <w:t>Kuznetsova</w:t>
      </w:r>
      <w:r w:rsidR="008935D8" w:rsidRPr="008935D8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, V.V.</w:t>
      </w:r>
      <w:r w:rsidR="008935D8" w:rsidRPr="008935D8">
        <w:rPr>
          <w:sz w:val="28"/>
          <w:szCs w:val="28"/>
          <w:lang w:val="en-US"/>
        </w:rPr>
        <w:t>Martynova</w:t>
      </w:r>
      <w:r w:rsidR="008935D8" w:rsidRPr="008935D8">
        <w:rPr>
          <w:sz w:val="28"/>
          <w:szCs w:val="28"/>
          <w:vertAlign w:val="superscript"/>
          <w:lang w:val="en-US"/>
        </w:rPr>
        <w:t>1</w:t>
      </w:r>
      <w:r w:rsidR="008935D8">
        <w:rPr>
          <w:sz w:val="28"/>
          <w:szCs w:val="28"/>
          <w:lang w:val="en-US"/>
        </w:rPr>
        <w:t>, I.A.</w:t>
      </w:r>
      <w:r w:rsidR="008935D8" w:rsidRPr="008935D8">
        <w:rPr>
          <w:sz w:val="28"/>
          <w:szCs w:val="28"/>
          <w:lang w:val="en-US"/>
        </w:rPr>
        <w:t>Yakovlev</w:t>
      </w:r>
      <w:r w:rsidR="008935D8" w:rsidRPr="008935D8">
        <w:rPr>
          <w:sz w:val="28"/>
          <w:szCs w:val="28"/>
          <w:vertAlign w:val="superscript"/>
          <w:lang w:val="en-US"/>
        </w:rPr>
        <w:t>1,2</w:t>
      </w:r>
    </w:p>
    <w:p w:rsidR="00B82AD7" w:rsidRPr="008935D8" w:rsidRDefault="00B82AD7" w:rsidP="008935D8">
      <w:pPr>
        <w:widowControl w:val="0"/>
        <w:jc w:val="center"/>
        <w:rPr>
          <w:sz w:val="28"/>
          <w:szCs w:val="28"/>
          <w:lang w:val="en-US"/>
        </w:rPr>
      </w:pPr>
    </w:p>
    <w:p w:rsidR="008935D8" w:rsidRPr="008935D8" w:rsidRDefault="008935D8" w:rsidP="008935D8">
      <w:pPr>
        <w:widowControl w:val="0"/>
        <w:jc w:val="center"/>
        <w:rPr>
          <w:i/>
          <w:lang w:val="en-US"/>
        </w:rPr>
      </w:pPr>
      <w:r w:rsidRPr="008935D8">
        <w:rPr>
          <w:i/>
          <w:vertAlign w:val="superscript"/>
          <w:lang w:val="en-US"/>
        </w:rPr>
        <w:t>1</w:t>
      </w:r>
      <w:r w:rsidRPr="008935D8">
        <w:rPr>
          <w:i/>
          <w:lang w:val="en-US"/>
        </w:rPr>
        <w:t>Institute for Nuclear Resea</w:t>
      </w:r>
      <w:r>
        <w:rPr>
          <w:i/>
          <w:lang w:val="en-US"/>
        </w:rPr>
        <w:t>rch</w:t>
      </w:r>
      <w:r w:rsidRPr="008935D8">
        <w:rPr>
          <w:i/>
          <w:lang w:val="en-US"/>
        </w:rPr>
        <w:t xml:space="preserve"> </w:t>
      </w:r>
      <w:r>
        <w:rPr>
          <w:i/>
          <w:lang w:val="en-US"/>
        </w:rPr>
        <w:t xml:space="preserve">RAS, </w:t>
      </w:r>
      <w:proofErr w:type="spellStart"/>
      <w:r>
        <w:rPr>
          <w:i/>
          <w:lang w:val="en-US"/>
        </w:rPr>
        <w:t>Troitsk</w:t>
      </w:r>
      <w:proofErr w:type="spellEnd"/>
      <w:r>
        <w:rPr>
          <w:i/>
          <w:lang w:val="en-US"/>
        </w:rPr>
        <w:t>, RF</w:t>
      </w:r>
      <w:r w:rsidRPr="008935D8">
        <w:rPr>
          <w:i/>
          <w:lang w:val="en-US"/>
        </w:rPr>
        <w:t>;</w:t>
      </w:r>
    </w:p>
    <w:p w:rsidR="008935D8" w:rsidRPr="008935D8" w:rsidRDefault="008935D8" w:rsidP="008935D8">
      <w:pPr>
        <w:widowControl w:val="0"/>
        <w:jc w:val="center"/>
        <w:rPr>
          <w:i/>
          <w:lang w:val="en-US"/>
        </w:rPr>
      </w:pPr>
      <w:r w:rsidRPr="008935D8">
        <w:rPr>
          <w:i/>
          <w:vertAlign w:val="superscript"/>
          <w:lang w:val="en-US"/>
        </w:rPr>
        <w:t>2</w:t>
      </w:r>
      <w:r w:rsidRPr="008935D8">
        <w:rPr>
          <w:i/>
          <w:lang w:val="en-US"/>
        </w:rPr>
        <w:t>Hospital of the Russian Acade</w:t>
      </w:r>
      <w:r>
        <w:rPr>
          <w:i/>
          <w:lang w:val="en-US"/>
        </w:rPr>
        <w:t xml:space="preserve">my of Sciences, </w:t>
      </w:r>
      <w:proofErr w:type="spellStart"/>
      <w:r>
        <w:rPr>
          <w:i/>
          <w:lang w:val="en-US"/>
        </w:rPr>
        <w:t>Troitsk</w:t>
      </w:r>
      <w:proofErr w:type="spellEnd"/>
      <w:r>
        <w:rPr>
          <w:i/>
          <w:lang w:val="en-US"/>
        </w:rPr>
        <w:t>, RF</w:t>
      </w:r>
      <w:r w:rsidRPr="008935D8">
        <w:rPr>
          <w:i/>
          <w:lang w:val="en-US"/>
        </w:rPr>
        <w:t>;</w:t>
      </w:r>
    </w:p>
    <w:p w:rsidR="008935D8" w:rsidRDefault="008935D8" w:rsidP="008935D8">
      <w:pPr>
        <w:widowControl w:val="0"/>
        <w:jc w:val="center"/>
        <w:rPr>
          <w:i/>
          <w:lang w:val="en-US"/>
        </w:rPr>
      </w:pPr>
      <w:r w:rsidRPr="008935D8">
        <w:rPr>
          <w:i/>
          <w:vertAlign w:val="superscript"/>
          <w:lang w:val="en-US"/>
        </w:rPr>
        <w:t>3</w:t>
      </w:r>
      <w:r w:rsidRPr="008935D8">
        <w:rPr>
          <w:i/>
          <w:lang w:val="en-US"/>
        </w:rPr>
        <w:t xml:space="preserve">Institute of Theoretical and Experimental Biophysics RAS, </w:t>
      </w:r>
      <w:proofErr w:type="spellStart"/>
      <w:r w:rsidRPr="008935D8">
        <w:rPr>
          <w:i/>
          <w:lang w:val="en-US"/>
        </w:rPr>
        <w:t>Pushchino</w:t>
      </w:r>
      <w:proofErr w:type="spellEnd"/>
      <w:r w:rsidRPr="008935D8">
        <w:rPr>
          <w:i/>
          <w:lang w:val="en-US"/>
        </w:rPr>
        <w:t>, RF.</w:t>
      </w:r>
    </w:p>
    <w:p w:rsidR="00CC1ED1" w:rsidRPr="008935D8" w:rsidRDefault="00CC1ED1" w:rsidP="008935D8">
      <w:pPr>
        <w:widowControl w:val="0"/>
        <w:jc w:val="center"/>
        <w:rPr>
          <w:i/>
          <w:lang w:val="en-US"/>
        </w:rPr>
      </w:pPr>
    </w:p>
    <w:p w:rsidR="008935D8" w:rsidRPr="008935D8" w:rsidRDefault="008935D8" w:rsidP="008935D8">
      <w:pPr>
        <w:widowControl w:val="0"/>
        <w:jc w:val="center"/>
        <w:rPr>
          <w:lang w:val="en-US"/>
        </w:rPr>
      </w:pPr>
      <w:r w:rsidRPr="008935D8">
        <w:rPr>
          <w:lang w:val="en-US"/>
        </w:rPr>
        <w:t>E-mail: akulinic@gmail.com</w:t>
      </w:r>
    </w:p>
    <w:p w:rsidR="008935D8" w:rsidRPr="008935D8" w:rsidRDefault="008935D8" w:rsidP="008935D8">
      <w:pPr>
        <w:widowControl w:val="0"/>
        <w:jc w:val="both"/>
        <w:rPr>
          <w:lang w:val="en-US"/>
        </w:rPr>
      </w:pPr>
    </w:p>
    <w:p w:rsidR="008935D8" w:rsidRPr="008935D8" w:rsidRDefault="00CC1ED1" w:rsidP="008935D8">
      <w:pPr>
        <w:widowControl w:val="0"/>
        <w:jc w:val="both"/>
        <w:rPr>
          <w:lang w:val="en-US"/>
        </w:rPr>
      </w:pPr>
      <w:r>
        <w:rPr>
          <w:lang w:val="en-US"/>
        </w:rPr>
        <w:t xml:space="preserve">    </w:t>
      </w:r>
      <w:r w:rsidR="008935D8" w:rsidRPr="008935D8">
        <w:rPr>
          <w:lang w:val="en-US"/>
        </w:rPr>
        <w:t xml:space="preserve">As is known, the flash effect in </w:t>
      </w:r>
      <w:r w:rsidR="008935D8">
        <w:rPr>
          <w:lang w:val="en-US"/>
        </w:rPr>
        <w:t xml:space="preserve">radiotherapy </w:t>
      </w:r>
      <w:r w:rsidR="008935D8" w:rsidRPr="008935D8">
        <w:rPr>
          <w:lang w:val="en-US"/>
        </w:rPr>
        <w:t xml:space="preserve">with a dose rate of more than 40 </w:t>
      </w:r>
      <w:proofErr w:type="spellStart"/>
      <w:r w:rsidR="008935D8" w:rsidRPr="008935D8">
        <w:rPr>
          <w:lang w:val="en-US"/>
        </w:rPr>
        <w:t>Gy</w:t>
      </w:r>
      <w:proofErr w:type="spellEnd"/>
      <w:r w:rsidR="008935D8" w:rsidRPr="008935D8">
        <w:rPr>
          <w:lang w:val="en-US"/>
        </w:rPr>
        <w:t>/s makes it possible to destroy</w:t>
      </w:r>
      <w:r w:rsidR="008935D8">
        <w:rPr>
          <w:lang w:val="en-US"/>
        </w:rPr>
        <w:t xml:space="preserve"> tumor cells </w:t>
      </w:r>
      <w:r w:rsidR="00B90841">
        <w:rPr>
          <w:lang w:val="en-US"/>
        </w:rPr>
        <w:t>much stronger</w:t>
      </w:r>
      <w:r w:rsidR="008935D8">
        <w:rPr>
          <w:lang w:val="en-US"/>
        </w:rPr>
        <w:t xml:space="preserve"> </w:t>
      </w:r>
      <w:r w:rsidR="008935D8" w:rsidRPr="008935D8">
        <w:rPr>
          <w:lang w:val="en-US"/>
        </w:rPr>
        <w:t xml:space="preserve">than normal cells. Additional prospects for flash therapy are associated with irradiation with protons, since protons and ions make it possible to increase the </w:t>
      </w:r>
      <w:proofErr w:type="spellStart"/>
      <w:r w:rsidR="008935D8" w:rsidRPr="008935D8">
        <w:rPr>
          <w:lang w:val="en-US"/>
        </w:rPr>
        <w:t>conformality</w:t>
      </w:r>
      <w:proofErr w:type="spellEnd"/>
      <w:r w:rsidR="008935D8" w:rsidRPr="008935D8">
        <w:rPr>
          <w:lang w:val="en-US"/>
        </w:rPr>
        <w:t xml:space="preserve"> of irradiation compared to irradiation with light particles. A unique feature of the proton beam facility at the Institute of Nuclear Resea</w:t>
      </w:r>
      <w:r w:rsidR="008935D8">
        <w:rPr>
          <w:lang w:val="en-US"/>
        </w:rPr>
        <w:t>rch</w:t>
      </w:r>
      <w:r w:rsidR="008935D8" w:rsidRPr="008935D8">
        <w:rPr>
          <w:lang w:val="en-US"/>
        </w:rPr>
        <w:t xml:space="preserve"> [1</w:t>
      </w:r>
      <w:proofErr w:type="gramStart"/>
      <w:r w:rsidR="008935D8" w:rsidRPr="008935D8">
        <w:rPr>
          <w:lang w:val="en-US"/>
        </w:rPr>
        <w:t>],</w:t>
      </w:r>
      <w:proofErr w:type="gramEnd"/>
      <w:r w:rsidR="008935D8" w:rsidRPr="008935D8">
        <w:rPr>
          <w:lang w:val="en-US"/>
        </w:rPr>
        <w:t xml:space="preserve"> is that it makes it possible to deliver the total irradiation dose in one pulse with a duration of less than 100 </w:t>
      </w:r>
      <w:r w:rsidR="008935D8">
        <w:t>μ</w:t>
      </w:r>
      <w:r w:rsidR="008935D8" w:rsidRPr="008935D8">
        <w:rPr>
          <w:lang w:val="en-US"/>
        </w:rPr>
        <w:t>s. Such a single-pulse flash mode (splash) of radiotherapy may open up a</w:t>
      </w:r>
      <w:r>
        <w:rPr>
          <w:lang w:val="en-US"/>
        </w:rPr>
        <w:t>dditional prospects</w:t>
      </w:r>
      <w:r w:rsidR="008935D8" w:rsidRPr="008935D8">
        <w:rPr>
          <w:lang w:val="en-US"/>
        </w:rPr>
        <w:t>.</w:t>
      </w:r>
    </w:p>
    <w:p w:rsidR="008935D8" w:rsidRPr="008935D8" w:rsidRDefault="00CC1ED1" w:rsidP="008935D8">
      <w:pPr>
        <w:widowControl w:val="0"/>
        <w:jc w:val="both"/>
        <w:rPr>
          <w:lang w:val="en-US"/>
        </w:rPr>
      </w:pPr>
      <w:r>
        <w:rPr>
          <w:lang w:val="en-US"/>
        </w:rPr>
        <w:t xml:space="preserve">   </w:t>
      </w:r>
      <w:r w:rsidR="008935D8" w:rsidRPr="008935D8">
        <w:rPr>
          <w:lang w:val="en-US"/>
        </w:rPr>
        <w:t>We have carried out a series</w:t>
      </w:r>
      <w:r>
        <w:rPr>
          <w:lang w:val="en-US"/>
        </w:rPr>
        <w:t xml:space="preserve"> of several runs of the INR </w:t>
      </w:r>
      <w:r w:rsidR="008935D8" w:rsidRPr="008935D8">
        <w:rPr>
          <w:lang w:val="en-US"/>
        </w:rPr>
        <w:t xml:space="preserve">proton accelerator in a wide range of modes: </w:t>
      </w:r>
      <w:proofErr w:type="gramStart"/>
      <w:r w:rsidR="008935D8" w:rsidRPr="008935D8">
        <w:rPr>
          <w:lang w:val="en-US"/>
        </w:rPr>
        <w:t xml:space="preserve">from the conventional mode with an average dose rate Ḋ &lt; 3 </w:t>
      </w:r>
      <w:proofErr w:type="spellStart"/>
      <w:r w:rsidR="008935D8" w:rsidRPr="008935D8">
        <w:rPr>
          <w:lang w:val="en-US"/>
        </w:rPr>
        <w:t>Gy</w:t>
      </w:r>
      <w:proofErr w:type="spellEnd"/>
      <w:r w:rsidR="008935D8" w:rsidRPr="008935D8">
        <w:rPr>
          <w:lang w:val="en-US"/>
        </w:rPr>
        <w:t>/s to the splash mode with Ḋ &gt; 10</w:t>
      </w:r>
      <w:r w:rsidR="008935D8" w:rsidRPr="00CC1ED1">
        <w:rPr>
          <w:vertAlign w:val="superscript"/>
          <w:lang w:val="en-US"/>
        </w:rPr>
        <w:t>4</w:t>
      </w:r>
      <w:r w:rsidR="008935D8" w:rsidRPr="008935D8">
        <w:rPr>
          <w:lang w:val="en-US"/>
        </w:rPr>
        <w:t xml:space="preserve"> </w:t>
      </w:r>
      <w:proofErr w:type="spellStart"/>
      <w:r w:rsidR="008935D8" w:rsidRPr="008935D8">
        <w:rPr>
          <w:lang w:val="en-US"/>
        </w:rPr>
        <w:t>Gy</w:t>
      </w:r>
      <w:proofErr w:type="spellEnd"/>
      <w:r w:rsidR="008935D8" w:rsidRPr="008935D8">
        <w:rPr>
          <w:lang w:val="en-US"/>
        </w:rPr>
        <w:t>/s</w:t>
      </w:r>
      <w:proofErr w:type="gramEnd"/>
      <w:r w:rsidR="008935D8" w:rsidRPr="008935D8">
        <w:rPr>
          <w:lang w:val="en-US"/>
        </w:rPr>
        <w:t xml:space="preserve">. Two types of tumor cells </w:t>
      </w:r>
      <w:proofErr w:type="gramStart"/>
      <w:r w:rsidR="008935D8" w:rsidRPr="008935D8">
        <w:rPr>
          <w:lang w:val="en-US"/>
        </w:rPr>
        <w:t>were irradiated</w:t>
      </w:r>
      <w:proofErr w:type="gramEnd"/>
      <w:r w:rsidR="008935D8" w:rsidRPr="008935D8">
        <w:rPr>
          <w:lang w:val="en-US"/>
        </w:rPr>
        <w:t xml:space="preserve"> in these experiments: human colon adenocarcinoma (HT-29) and human colon cancer (HCT116). Human adipose tissue mesenchymal stem cells (ADSC) – fibroblasts – </w:t>
      </w:r>
      <w:proofErr w:type="gramStart"/>
      <w:r w:rsidR="008935D8" w:rsidRPr="008935D8">
        <w:rPr>
          <w:lang w:val="en-US"/>
        </w:rPr>
        <w:t>were taken</w:t>
      </w:r>
      <w:proofErr w:type="gramEnd"/>
      <w:r w:rsidR="008935D8" w:rsidRPr="008935D8">
        <w:rPr>
          <w:lang w:val="en-US"/>
        </w:rPr>
        <w:t xml:space="preserve"> as normal cells. Cell cultures </w:t>
      </w:r>
      <w:proofErr w:type="gramStart"/>
      <w:r w:rsidR="008935D8" w:rsidRPr="008935D8">
        <w:rPr>
          <w:lang w:val="en-US"/>
        </w:rPr>
        <w:t>were irradiated</w:t>
      </w:r>
      <w:proofErr w:type="gramEnd"/>
      <w:r w:rsidR="008935D8" w:rsidRPr="008935D8">
        <w:rPr>
          <w:lang w:val="en-US"/>
        </w:rPr>
        <w:t xml:space="preserve"> in the reg</w:t>
      </w:r>
      <w:r>
        <w:rPr>
          <w:lang w:val="en-US"/>
        </w:rPr>
        <w:t>ion of the Bragg peak (</w:t>
      </w:r>
      <w:r w:rsidR="008935D8" w:rsidRPr="008935D8">
        <w:rPr>
          <w:lang w:val="en-US"/>
        </w:rPr>
        <w:t>SOBP) and on the plateau up to the Bragg peak. The task is to carry out a comprehensive analysis of the cell response to various modes of proton irradiation, both using flow cytometry and using another method - real-time PCR. Quantitative PCR was used to analyze the genetic control of apoptosis initiation (BAX, PUMA genes), cell cycle control (CDKN1A gene), and genome integrity control (p53 gene).</w:t>
      </w:r>
    </w:p>
    <w:p w:rsidR="008935D8" w:rsidRPr="008935D8" w:rsidRDefault="00CC1ED1" w:rsidP="008935D8">
      <w:pPr>
        <w:widowControl w:val="0"/>
        <w:jc w:val="both"/>
        <w:rPr>
          <w:lang w:val="en-US"/>
        </w:rPr>
      </w:pPr>
      <w:r w:rsidRPr="00CC1ED1">
        <w:rPr>
          <w:lang w:val="en-US"/>
        </w:rPr>
        <w:t xml:space="preserve">     </w:t>
      </w:r>
      <w:r>
        <w:rPr>
          <w:lang w:val="en-US"/>
        </w:rPr>
        <w:t>According to preliminary</w:t>
      </w:r>
      <w:r w:rsidRPr="00CC1ED1">
        <w:rPr>
          <w:lang w:val="en-US"/>
        </w:rPr>
        <w:t xml:space="preserve"> </w:t>
      </w:r>
      <w:r>
        <w:rPr>
          <w:lang w:val="en-US"/>
        </w:rPr>
        <w:t>results</w:t>
      </w:r>
      <w:r w:rsidR="008935D8" w:rsidRPr="008935D8">
        <w:rPr>
          <w:lang w:val="en-US"/>
        </w:rPr>
        <w:t>, the levels of expression of genes involved in apoptosis and genome integrity control under flash/splash irradiation differ from those under conventional irradiation both in the studied tumor lines and in normal fibroblasts.</w:t>
      </w:r>
    </w:p>
    <w:p w:rsidR="008935D8" w:rsidRDefault="00CC1ED1" w:rsidP="008935D8">
      <w:pPr>
        <w:widowControl w:val="0"/>
        <w:jc w:val="both"/>
        <w:rPr>
          <w:lang w:val="en-US"/>
        </w:rPr>
      </w:pPr>
      <w:r>
        <w:rPr>
          <w:lang w:val="en-US"/>
        </w:rPr>
        <w:t xml:space="preserve">   </w:t>
      </w:r>
      <w:r w:rsidR="00B82AD7">
        <w:rPr>
          <w:lang w:val="en-US"/>
        </w:rPr>
        <w:t xml:space="preserve">The work </w:t>
      </w:r>
      <w:proofErr w:type="gramStart"/>
      <w:r w:rsidR="00B82AD7">
        <w:rPr>
          <w:lang w:val="en-US"/>
        </w:rPr>
        <w:t xml:space="preserve">is </w:t>
      </w:r>
      <w:r w:rsidR="008935D8" w:rsidRPr="008935D8">
        <w:rPr>
          <w:lang w:val="en-US"/>
        </w:rPr>
        <w:t>supported</w:t>
      </w:r>
      <w:proofErr w:type="gramEnd"/>
      <w:r w:rsidR="008935D8" w:rsidRPr="008935D8">
        <w:rPr>
          <w:lang w:val="en-US"/>
        </w:rPr>
        <w:t xml:space="preserve"> by the Russian Science Foundation grant No. 22-25-00211 “Investigation of cell response </w:t>
      </w:r>
      <w:r w:rsidR="00B82AD7">
        <w:rPr>
          <w:lang w:val="en-US"/>
        </w:rPr>
        <w:t>to the impact of record</w:t>
      </w:r>
      <w:r w:rsidR="008935D8" w:rsidRPr="008935D8">
        <w:rPr>
          <w:lang w:val="en-US"/>
        </w:rPr>
        <w:t xml:space="preserve"> powerful ultrashort proton pulses.”</w:t>
      </w:r>
    </w:p>
    <w:p w:rsidR="00CC1ED1" w:rsidRPr="008935D8" w:rsidRDefault="00CC1ED1" w:rsidP="008935D8">
      <w:pPr>
        <w:widowControl w:val="0"/>
        <w:jc w:val="both"/>
        <w:rPr>
          <w:lang w:val="en-US"/>
        </w:rPr>
      </w:pPr>
    </w:p>
    <w:p w:rsidR="008935D8" w:rsidRDefault="008935D8" w:rsidP="008935D8">
      <w:pPr>
        <w:widowControl w:val="0"/>
        <w:jc w:val="both"/>
      </w:pPr>
      <w:r w:rsidRPr="008935D8">
        <w:rPr>
          <w:lang w:val="en-US"/>
        </w:rPr>
        <w:t xml:space="preserve">1. Akulinichev S.V., et al. Possibilities of Proton FLASH Therapy on the Accelerator at the Russian Academy of Sciences’ Institute for Nuclear Research. </w:t>
      </w:r>
      <w:proofErr w:type="spellStart"/>
      <w:r>
        <w:t>Bull</w:t>
      </w:r>
      <w:proofErr w:type="spellEnd"/>
      <w:r>
        <w:t xml:space="preserve">. </w:t>
      </w:r>
      <w:proofErr w:type="spellStart"/>
      <w:r>
        <w:t>Russ</w:t>
      </w:r>
      <w:proofErr w:type="spellEnd"/>
      <w:r>
        <w:t xml:space="preserve">. </w:t>
      </w:r>
      <w:proofErr w:type="spellStart"/>
      <w:r>
        <w:t>Acad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proofErr w:type="spellStart"/>
      <w:r>
        <w:t>Phys</w:t>
      </w:r>
      <w:proofErr w:type="spellEnd"/>
      <w:r>
        <w:t>. 84, 1325–1329 (2020).</w:t>
      </w:r>
      <w:bookmarkStart w:id="0" w:name="_GoBack"/>
      <w:bookmarkEnd w:id="0"/>
    </w:p>
    <w:sectPr w:rsidR="008935D8">
      <w:headerReference w:type="default" r:id="rId8"/>
      <w:footerReference w:type="default" r:id="rId9"/>
      <w:pgSz w:w="11906" w:h="16838"/>
      <w:pgMar w:top="1134" w:right="1134" w:bottom="1134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F6" w:rsidRDefault="006F15F6">
      <w:r>
        <w:separator/>
      </w:r>
    </w:p>
  </w:endnote>
  <w:endnote w:type="continuationSeparator" w:id="0">
    <w:p w:rsidR="006F15F6" w:rsidRDefault="006F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26" w:rsidRDefault="00940A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F6" w:rsidRDefault="006F15F6">
      <w:r>
        <w:separator/>
      </w:r>
    </w:p>
  </w:footnote>
  <w:footnote w:type="continuationSeparator" w:id="0">
    <w:p w:rsidR="006F15F6" w:rsidRDefault="006F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26" w:rsidRDefault="00940A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EA1"/>
    <w:multiLevelType w:val="hybridMultilevel"/>
    <w:tmpl w:val="9ED0051E"/>
    <w:lvl w:ilvl="0" w:tplc="074092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6"/>
    <w:rsid w:val="000F4253"/>
    <w:rsid w:val="001770A3"/>
    <w:rsid w:val="004A697C"/>
    <w:rsid w:val="006B096B"/>
    <w:rsid w:val="006F15F6"/>
    <w:rsid w:val="008935D8"/>
    <w:rsid w:val="008E5179"/>
    <w:rsid w:val="009265C4"/>
    <w:rsid w:val="00940A26"/>
    <w:rsid w:val="00B82AD7"/>
    <w:rsid w:val="00B865A6"/>
    <w:rsid w:val="00B90841"/>
    <w:rsid w:val="00C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946A-8ECE-4E35-877B-1EAA954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C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4061C2"/>
    <w:rPr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4061C2"/>
    <w:rPr>
      <w:sz w:val="24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76CD9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4061C2"/>
    <w:pPr>
      <w:tabs>
        <w:tab w:val="center" w:pos="4844"/>
        <w:tab w:val="right" w:pos="9689"/>
      </w:tabs>
    </w:pPr>
  </w:style>
  <w:style w:type="paragraph" w:styleId="ac">
    <w:name w:val="footer"/>
    <w:basedOn w:val="a"/>
    <w:uiPriority w:val="99"/>
    <w:unhideWhenUsed/>
    <w:rsid w:val="004061C2"/>
    <w:pPr>
      <w:tabs>
        <w:tab w:val="center" w:pos="4844"/>
        <w:tab w:val="right" w:pos="9689"/>
      </w:tabs>
    </w:pPr>
  </w:style>
  <w:style w:type="paragraph" w:styleId="ad">
    <w:name w:val="Balloon Text"/>
    <w:basedOn w:val="a"/>
    <w:uiPriority w:val="99"/>
    <w:semiHidden/>
    <w:unhideWhenUsed/>
    <w:qFormat/>
    <w:rsid w:val="00576CD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704D88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89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2996-4DCC-46A0-AAAE-2A41B12E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Akulinichev</dc:creator>
  <dc:description/>
  <cp:lastModifiedBy>Sergey Akulinichev</cp:lastModifiedBy>
  <cp:revision>9</cp:revision>
  <dcterms:created xsi:type="dcterms:W3CDTF">2022-04-15T15:43:00Z</dcterms:created>
  <dcterms:modified xsi:type="dcterms:W3CDTF">2022-04-15T16:40:00Z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