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C948" w14:textId="6BDB6F8D" w:rsidR="00C775A5" w:rsidRPr="00B2111D" w:rsidRDefault="00B2111D" w:rsidP="00B2111D">
      <w:pPr>
        <w:widowControl w:val="0"/>
        <w:autoSpaceDE w:val="0"/>
        <w:autoSpaceDN w:val="0"/>
        <w:adjustRightInd w:val="0"/>
        <w:jc w:val="center"/>
        <w:rPr>
          <w:b/>
          <w:bCs/>
          <w:sz w:val="32"/>
          <w:szCs w:val="32"/>
          <w:lang w:val="en-US"/>
        </w:rPr>
      </w:pPr>
      <w:r>
        <w:rPr>
          <w:b/>
          <w:bCs/>
          <w:sz w:val="32"/>
          <w:szCs w:val="32"/>
          <w:lang w:val="en-US"/>
        </w:rPr>
        <w:t>D</w:t>
      </w:r>
      <w:r w:rsidRPr="00B2111D">
        <w:rPr>
          <w:b/>
          <w:bCs/>
          <w:sz w:val="32"/>
          <w:szCs w:val="32"/>
          <w:lang w:val="en-US"/>
        </w:rPr>
        <w:t>etermination of treatment efficiency of head-and-neck cancer</w:t>
      </w:r>
      <w:r>
        <w:rPr>
          <w:b/>
          <w:bCs/>
          <w:sz w:val="32"/>
          <w:szCs w:val="32"/>
          <w:lang w:val="en-US"/>
        </w:rPr>
        <w:t xml:space="preserve"> based on TCP model</w:t>
      </w:r>
    </w:p>
    <w:p w14:paraId="3DEABE20" w14:textId="4F84A93C" w:rsidR="00077BC8" w:rsidRPr="00077BC8" w:rsidRDefault="00D56C0A" w:rsidP="00077BC8">
      <w:pPr>
        <w:widowControl w:val="0"/>
        <w:autoSpaceDE w:val="0"/>
        <w:autoSpaceDN w:val="0"/>
        <w:adjustRightInd w:val="0"/>
        <w:jc w:val="center"/>
        <w:rPr>
          <w:sz w:val="28"/>
          <w:szCs w:val="28"/>
          <w:lang w:val="en-US"/>
        </w:rPr>
      </w:pPr>
      <w:r>
        <w:rPr>
          <w:sz w:val="28"/>
          <w:szCs w:val="28"/>
          <w:lang w:val="en-US"/>
        </w:rPr>
        <w:t>E</w:t>
      </w:r>
      <w:r w:rsidR="00D077E6">
        <w:rPr>
          <w:sz w:val="28"/>
          <w:szCs w:val="28"/>
          <w:lang w:val="en-US"/>
        </w:rPr>
        <w:t>.</w:t>
      </w:r>
      <w:r w:rsidR="00AE6E04">
        <w:rPr>
          <w:sz w:val="28"/>
          <w:szCs w:val="28"/>
          <w:lang w:val="en-US"/>
        </w:rPr>
        <w:t>S</w:t>
      </w:r>
      <w:r w:rsidR="00D077E6">
        <w:rPr>
          <w:sz w:val="28"/>
          <w:szCs w:val="28"/>
          <w:lang w:val="en-US"/>
        </w:rPr>
        <w:t xml:space="preserve">. </w:t>
      </w:r>
      <w:r w:rsidR="00AE6E04">
        <w:rPr>
          <w:sz w:val="28"/>
          <w:szCs w:val="28"/>
          <w:lang w:val="en-US"/>
        </w:rPr>
        <w:t>Sukhikh</w:t>
      </w:r>
      <w:r w:rsidR="000A3381" w:rsidRPr="00E5401A">
        <w:rPr>
          <w:sz w:val="28"/>
          <w:szCs w:val="28"/>
          <w:vertAlign w:val="superscript"/>
          <w:lang w:val="en-US"/>
        </w:rPr>
        <w:t>1</w:t>
      </w:r>
      <w:r w:rsidR="00C775A5" w:rsidRPr="00E5401A">
        <w:rPr>
          <w:sz w:val="28"/>
          <w:szCs w:val="28"/>
          <w:lang w:val="en-US"/>
        </w:rPr>
        <w:t xml:space="preserve">, </w:t>
      </w:r>
      <w:r w:rsidR="00AE6E04">
        <w:rPr>
          <w:sz w:val="28"/>
          <w:szCs w:val="28"/>
          <w:lang w:val="en-US"/>
        </w:rPr>
        <w:t>L</w:t>
      </w:r>
      <w:r w:rsidR="00D077E6">
        <w:rPr>
          <w:sz w:val="28"/>
          <w:szCs w:val="28"/>
          <w:lang w:val="en-US"/>
        </w:rPr>
        <w:t>.</w:t>
      </w:r>
      <w:r w:rsidR="00AE6E04">
        <w:rPr>
          <w:sz w:val="28"/>
          <w:szCs w:val="28"/>
          <w:lang w:val="en-US"/>
        </w:rPr>
        <w:t>G.</w:t>
      </w:r>
      <w:r w:rsidR="00D077E6">
        <w:rPr>
          <w:sz w:val="28"/>
          <w:szCs w:val="28"/>
          <w:lang w:val="en-US"/>
        </w:rPr>
        <w:t xml:space="preserve"> </w:t>
      </w:r>
      <w:r w:rsidR="00AE6E04">
        <w:rPr>
          <w:sz w:val="28"/>
          <w:szCs w:val="28"/>
          <w:lang w:val="en-US"/>
        </w:rPr>
        <w:t>Sukhikh</w:t>
      </w:r>
      <w:r w:rsidR="00AE6E04">
        <w:rPr>
          <w:sz w:val="28"/>
          <w:szCs w:val="28"/>
          <w:vertAlign w:val="superscript"/>
          <w:lang w:val="en-US"/>
        </w:rPr>
        <w:t>1</w:t>
      </w:r>
    </w:p>
    <w:p w14:paraId="718CABD6" w14:textId="2FDA94A4"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AE6E04" w:rsidRPr="00AE6E04">
        <w:rPr>
          <w:i/>
          <w:iCs/>
          <w:lang w:val="en-US"/>
        </w:rPr>
        <w:t xml:space="preserve">Tomsk Polytechnic University, Tomsk, </w:t>
      </w:r>
      <w:r w:rsidR="00077BC8">
        <w:rPr>
          <w:i/>
          <w:iCs/>
          <w:lang w:val="en-US"/>
        </w:rPr>
        <w:t>Russia</w:t>
      </w:r>
      <w:r w:rsidRPr="00E5401A">
        <w:rPr>
          <w:i/>
          <w:iCs/>
          <w:lang w:val="en-US"/>
        </w:rPr>
        <w:t xml:space="preserve"> </w:t>
      </w:r>
    </w:p>
    <w:p w14:paraId="3CA92542" w14:textId="1E9F3D82"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A8203D">
        <w:rPr>
          <w:lang w:val="en-US"/>
        </w:rPr>
        <w:t>e.s.sukhikh</w:t>
      </w:r>
      <w:r w:rsidR="00074B75" w:rsidRPr="00E5401A">
        <w:rPr>
          <w:lang w:val="en-US"/>
        </w:rPr>
        <w:t>@</w:t>
      </w:r>
      <w:r w:rsidR="00A8203D">
        <w:rPr>
          <w:lang w:val="en-US"/>
        </w:rPr>
        <w:t>g</w:t>
      </w:r>
      <w:r w:rsidR="00077BC8">
        <w:rPr>
          <w:lang w:val="en-US"/>
        </w:rPr>
        <w:t>mail.</w:t>
      </w:r>
      <w:r w:rsidR="00A8203D">
        <w:rPr>
          <w:lang w:val="en-US"/>
        </w:rPr>
        <w:t>com</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28DE70F9" w14:textId="77777777" w:rsidR="00B2111D" w:rsidRPr="00B2111D" w:rsidRDefault="00AE6E04" w:rsidP="00B2111D">
      <w:pPr>
        <w:pStyle w:val="Reference"/>
        <w:numPr>
          <w:ilvl w:val="0"/>
          <w:numId w:val="0"/>
        </w:numPr>
        <w:ind w:firstLine="426"/>
        <w:rPr>
          <w:sz w:val="28"/>
          <w:szCs w:val="28"/>
        </w:rPr>
      </w:pPr>
      <w:r w:rsidRPr="00B2111D">
        <w:rPr>
          <w:sz w:val="28"/>
          <w:szCs w:val="28"/>
        </w:rPr>
        <w:t>External beam radiotherapy based on volumetric modulated arc radiotherapy technic delivery is widely used for the treatment of the locally advanced head-and-neck cancer (LAHNC). There are some approaches of irradiation of LAHNC, for example, simultaneous integrated boost (SIB) and sequential boost (SEQ) [1]. Analysis of the developed treatment plans based on tumour control probability (TCP) models (</w:t>
      </w:r>
      <w:proofErr w:type="spellStart"/>
      <w:r w:rsidRPr="00B2111D">
        <w:rPr>
          <w:sz w:val="28"/>
          <w:szCs w:val="28"/>
        </w:rPr>
        <w:t>Niemierko’s</w:t>
      </w:r>
      <w:proofErr w:type="spellEnd"/>
      <w:r w:rsidRPr="00B2111D">
        <w:rPr>
          <w:sz w:val="28"/>
          <w:szCs w:val="28"/>
        </w:rPr>
        <w:t xml:space="preserve"> TCP model [2]) could help to estimate expected efficiency of the developed plans and to find optimal treatment schemes with respect to total dose value, fractional dose and overall treatment time (OTT). </w:t>
      </w:r>
    </w:p>
    <w:p w14:paraId="6E84B938" w14:textId="77777777" w:rsidR="00B2111D" w:rsidRPr="00B2111D" w:rsidRDefault="00AE6E04" w:rsidP="00B2111D">
      <w:pPr>
        <w:pStyle w:val="Reference"/>
        <w:numPr>
          <w:ilvl w:val="0"/>
          <w:numId w:val="0"/>
        </w:numPr>
        <w:ind w:firstLine="426"/>
        <w:rPr>
          <w:sz w:val="28"/>
          <w:szCs w:val="28"/>
        </w:rPr>
      </w:pPr>
      <w:r w:rsidRPr="00B2111D">
        <w:rPr>
          <w:sz w:val="28"/>
          <w:szCs w:val="28"/>
        </w:rPr>
        <w:t>In this study, the simultaneous integrated boost VMAT (SIB-VMAT) plans and sequential boost VMAT (SEQ-VMAT) plans were developed and ​​obtained values of TCP based on the anatomical data of 11 patients.</w:t>
      </w:r>
    </w:p>
    <w:p w14:paraId="0E50C8DA" w14:textId="0ADC1EE6" w:rsidR="00B2111D" w:rsidRPr="00B2111D" w:rsidRDefault="00AE6E04" w:rsidP="00B2111D">
      <w:pPr>
        <w:pStyle w:val="Reference"/>
        <w:numPr>
          <w:ilvl w:val="0"/>
          <w:numId w:val="0"/>
        </w:numPr>
        <w:ind w:firstLine="426"/>
        <w:rPr>
          <w:sz w:val="28"/>
          <w:szCs w:val="28"/>
        </w:rPr>
      </w:pPr>
      <w:r w:rsidRPr="00B2111D">
        <w:rPr>
          <w:sz w:val="28"/>
          <w:szCs w:val="28"/>
        </w:rPr>
        <w:t xml:space="preserve">The anatomical data of 11 patients with LAHNC (larynx, oropharynx and oral cavity) were used. For each patient two treatment plans were developed, SIB-VMAT (70 </w:t>
      </w:r>
      <w:proofErr w:type="spellStart"/>
      <w:r w:rsidRPr="00B2111D">
        <w:rPr>
          <w:sz w:val="28"/>
          <w:szCs w:val="28"/>
        </w:rPr>
        <w:t>Gy</w:t>
      </w:r>
      <w:proofErr w:type="spellEnd"/>
      <w:r w:rsidRPr="00B2111D">
        <w:rPr>
          <w:sz w:val="28"/>
          <w:szCs w:val="28"/>
        </w:rPr>
        <w:t xml:space="preserve"> to tumour, 50 </w:t>
      </w:r>
      <w:proofErr w:type="spellStart"/>
      <w:r w:rsidRPr="00B2111D">
        <w:rPr>
          <w:sz w:val="28"/>
          <w:szCs w:val="28"/>
        </w:rPr>
        <w:t>Gy</w:t>
      </w:r>
      <w:proofErr w:type="spellEnd"/>
      <w:r w:rsidRPr="00B2111D">
        <w:rPr>
          <w:sz w:val="28"/>
          <w:szCs w:val="28"/>
        </w:rPr>
        <w:t xml:space="preserve"> to lymph nodes, 25 fractions) and SEQ-VMAT (70 </w:t>
      </w:r>
      <w:proofErr w:type="spellStart"/>
      <w:r w:rsidRPr="00B2111D">
        <w:rPr>
          <w:sz w:val="28"/>
          <w:szCs w:val="28"/>
        </w:rPr>
        <w:t>Gy</w:t>
      </w:r>
      <w:proofErr w:type="spellEnd"/>
      <w:r w:rsidRPr="00B2111D">
        <w:rPr>
          <w:sz w:val="28"/>
          <w:szCs w:val="28"/>
        </w:rPr>
        <w:t xml:space="preserve"> to tumour, 50 </w:t>
      </w:r>
      <w:proofErr w:type="spellStart"/>
      <w:r w:rsidRPr="00B2111D">
        <w:rPr>
          <w:sz w:val="28"/>
          <w:szCs w:val="28"/>
        </w:rPr>
        <w:t>Gy</w:t>
      </w:r>
      <w:proofErr w:type="spellEnd"/>
      <w:r w:rsidRPr="00B2111D">
        <w:rPr>
          <w:sz w:val="28"/>
          <w:szCs w:val="28"/>
        </w:rPr>
        <w:t xml:space="preserve"> to lymph nodes, 35 fractions). The developed plans were analyzed using the </w:t>
      </w:r>
      <w:proofErr w:type="spellStart"/>
      <w:r w:rsidRPr="00B2111D">
        <w:rPr>
          <w:sz w:val="28"/>
          <w:szCs w:val="28"/>
        </w:rPr>
        <w:t>Niemierko’s</w:t>
      </w:r>
      <w:proofErr w:type="spellEnd"/>
      <w:r w:rsidRPr="00B2111D">
        <w:rPr>
          <w:sz w:val="28"/>
          <w:szCs w:val="28"/>
        </w:rPr>
        <w:t xml:space="preserve"> TCP model with </w:t>
      </w:r>
      <w:proofErr w:type="spellStart"/>
      <w:r w:rsidRPr="00B2111D">
        <w:rPr>
          <w:sz w:val="28"/>
          <w:szCs w:val="28"/>
        </w:rPr>
        <w:t>Maciejewski's</w:t>
      </w:r>
      <w:proofErr w:type="spellEnd"/>
      <w:r w:rsidRPr="00B2111D">
        <w:rPr>
          <w:sz w:val="28"/>
          <w:szCs w:val="28"/>
        </w:rPr>
        <w:t xml:space="preserve"> parameters (TCD50=70.26 </w:t>
      </w:r>
      <w:proofErr w:type="spellStart"/>
      <w:r w:rsidRPr="00B2111D">
        <w:rPr>
          <w:sz w:val="28"/>
          <w:szCs w:val="28"/>
        </w:rPr>
        <w:t>Gy</w:t>
      </w:r>
      <w:proofErr w:type="spellEnd"/>
      <w:r w:rsidRPr="00B2111D">
        <w:rPr>
          <w:sz w:val="28"/>
          <w:szCs w:val="28"/>
        </w:rPr>
        <w:t xml:space="preserve">) taking into account dose-volume histograms and OTT. </w:t>
      </w:r>
    </w:p>
    <w:p w14:paraId="32983E95" w14:textId="77777777" w:rsidR="00B2111D" w:rsidRPr="00B2111D" w:rsidRDefault="00AE6E04" w:rsidP="00B2111D">
      <w:pPr>
        <w:pStyle w:val="Reference"/>
        <w:numPr>
          <w:ilvl w:val="0"/>
          <w:numId w:val="0"/>
        </w:numPr>
        <w:ind w:firstLine="426"/>
        <w:rPr>
          <w:sz w:val="28"/>
          <w:szCs w:val="28"/>
        </w:rPr>
      </w:pPr>
      <w:r w:rsidRPr="00B2111D">
        <w:rPr>
          <w:sz w:val="28"/>
          <w:szCs w:val="28"/>
        </w:rPr>
        <w:t xml:space="preserve">The developed SIB-VMAT and SEQ-VMAT plans had the physical coverage of the CTV </w:t>
      </w:r>
      <w:proofErr w:type="spellStart"/>
      <w:r w:rsidRPr="00B2111D">
        <w:rPr>
          <w:sz w:val="28"/>
          <w:szCs w:val="28"/>
        </w:rPr>
        <w:t>tumours</w:t>
      </w:r>
      <w:proofErr w:type="spellEnd"/>
      <w:r w:rsidRPr="00B2111D">
        <w:rPr>
          <w:sz w:val="28"/>
          <w:szCs w:val="28"/>
        </w:rPr>
        <w:t xml:space="preserve"> more than 97% of prescribed dose delivered to more than 97% of the volume, except one. The average TCP value of SIB-VMAT was equal to 99.9% due to short OTT. The average value of TCP for SEQ-VMAT was equal to 61.0%. For one patient, the both SIB-VMAT and SEQ-VMAT plans showed zero expected efficiency due to CTV coverage 95%-95%.</w:t>
      </w:r>
    </w:p>
    <w:p w14:paraId="4E5537A8" w14:textId="57B4150B" w:rsidR="00AE6E04" w:rsidRPr="00B2111D" w:rsidRDefault="00AE6E04" w:rsidP="00B2111D">
      <w:pPr>
        <w:pStyle w:val="Reference"/>
        <w:numPr>
          <w:ilvl w:val="0"/>
          <w:numId w:val="0"/>
        </w:numPr>
        <w:ind w:firstLine="426"/>
        <w:rPr>
          <w:sz w:val="28"/>
          <w:szCs w:val="28"/>
        </w:rPr>
      </w:pPr>
      <w:r w:rsidRPr="00B2111D">
        <w:rPr>
          <w:sz w:val="28"/>
          <w:szCs w:val="28"/>
        </w:rPr>
        <w:t xml:space="preserve">According to the </w:t>
      </w:r>
      <w:proofErr w:type="spellStart"/>
      <w:r w:rsidRPr="00B2111D">
        <w:rPr>
          <w:sz w:val="28"/>
          <w:szCs w:val="28"/>
        </w:rPr>
        <w:t>Niemierko</w:t>
      </w:r>
      <w:proofErr w:type="spellEnd"/>
      <w:r w:rsidRPr="00B2111D">
        <w:rPr>
          <w:sz w:val="28"/>
          <w:szCs w:val="28"/>
        </w:rPr>
        <w:t xml:space="preserve"> TCP model using </w:t>
      </w:r>
      <w:proofErr w:type="spellStart"/>
      <w:r w:rsidRPr="00B2111D">
        <w:rPr>
          <w:sz w:val="28"/>
          <w:szCs w:val="28"/>
        </w:rPr>
        <w:t>Maciejewski's</w:t>
      </w:r>
      <w:proofErr w:type="spellEnd"/>
      <w:r w:rsidRPr="00B2111D">
        <w:rPr>
          <w:sz w:val="28"/>
          <w:szCs w:val="28"/>
        </w:rPr>
        <w:t xml:space="preserve"> parameters, the 50% efficiency of the treatment could be reached at EUD equal to EUD = 70.26 </w:t>
      </w:r>
      <w:proofErr w:type="spellStart"/>
      <w:r w:rsidRPr="00B2111D">
        <w:rPr>
          <w:sz w:val="28"/>
          <w:szCs w:val="28"/>
        </w:rPr>
        <w:t>Gy</w:t>
      </w:r>
      <w:proofErr w:type="spellEnd"/>
      <w:r w:rsidRPr="00B2111D">
        <w:rPr>
          <w:sz w:val="28"/>
          <w:szCs w:val="28"/>
        </w:rPr>
        <w:t xml:space="preserve">, when the prescription dose values higher than 71-72 </w:t>
      </w:r>
      <w:proofErr w:type="spellStart"/>
      <w:r w:rsidRPr="00B2111D">
        <w:rPr>
          <w:sz w:val="28"/>
          <w:szCs w:val="28"/>
        </w:rPr>
        <w:t>Gy</w:t>
      </w:r>
      <w:proofErr w:type="spellEnd"/>
      <w:r w:rsidRPr="00B2111D">
        <w:rPr>
          <w:sz w:val="28"/>
          <w:szCs w:val="28"/>
        </w:rPr>
        <w:t xml:space="preserve"> or 70 </w:t>
      </w:r>
      <w:proofErr w:type="spellStart"/>
      <w:r w:rsidRPr="00B2111D">
        <w:rPr>
          <w:sz w:val="28"/>
          <w:szCs w:val="28"/>
        </w:rPr>
        <w:t>Gy</w:t>
      </w:r>
      <w:proofErr w:type="spellEnd"/>
      <w:r w:rsidRPr="00B2111D">
        <w:rPr>
          <w:sz w:val="28"/>
          <w:szCs w:val="28"/>
        </w:rPr>
        <w:t xml:space="preserve"> delivered in less than 35 fractions. The analysis of selected clinical trials showed that the reported results of treatment efficiency rather well correspond to the model predictions. However, the results of DVHs calculated for real patients' anatomical data showed that even small volumes of the tumour that were irradiated to doses less than 70 </w:t>
      </w:r>
      <w:proofErr w:type="spellStart"/>
      <w:r w:rsidRPr="00B2111D">
        <w:rPr>
          <w:sz w:val="28"/>
          <w:szCs w:val="28"/>
        </w:rPr>
        <w:t>Gy</w:t>
      </w:r>
      <w:proofErr w:type="spellEnd"/>
      <w:r w:rsidRPr="00B2111D">
        <w:rPr>
          <w:sz w:val="28"/>
          <w:szCs w:val="28"/>
        </w:rPr>
        <w:t xml:space="preserve"> in 35 fractions could significantly decrease the expected TCP value. The results of simulation and analysis of clinical practice show that the DVH of each patient should be analyzed on the expected TCP.</w:t>
      </w:r>
    </w:p>
    <w:p w14:paraId="221E0FEE" w14:textId="6988CF2D" w:rsidR="00B2111D" w:rsidRDefault="00AE6E04" w:rsidP="00AE6E04">
      <w:pPr>
        <w:pStyle w:val="Reference"/>
        <w:numPr>
          <w:ilvl w:val="0"/>
          <w:numId w:val="2"/>
        </w:numPr>
        <w:rPr>
          <w:sz w:val="24"/>
          <w:szCs w:val="24"/>
        </w:rPr>
      </w:pPr>
      <w:proofErr w:type="spellStart"/>
      <w:r w:rsidRPr="003C5269">
        <w:rPr>
          <w:sz w:val="24"/>
          <w:szCs w:val="24"/>
        </w:rPr>
        <w:t>Orlandi</w:t>
      </w:r>
      <w:proofErr w:type="spellEnd"/>
      <w:r w:rsidRPr="003C5269">
        <w:rPr>
          <w:sz w:val="24"/>
          <w:szCs w:val="24"/>
        </w:rPr>
        <w:t xml:space="preserve"> E, Palazzi M, </w:t>
      </w:r>
      <w:proofErr w:type="spellStart"/>
      <w:r w:rsidRPr="003C5269">
        <w:rPr>
          <w:sz w:val="24"/>
          <w:szCs w:val="24"/>
        </w:rPr>
        <w:t>Pignoli</w:t>
      </w:r>
      <w:proofErr w:type="spellEnd"/>
      <w:r w:rsidRPr="003C5269">
        <w:rPr>
          <w:sz w:val="24"/>
          <w:szCs w:val="24"/>
        </w:rPr>
        <w:t xml:space="preserve"> E, </w:t>
      </w:r>
      <w:proofErr w:type="spellStart"/>
      <w:r w:rsidRPr="003C5269">
        <w:rPr>
          <w:sz w:val="24"/>
          <w:szCs w:val="24"/>
        </w:rPr>
        <w:t>Fallai</w:t>
      </w:r>
      <w:proofErr w:type="spellEnd"/>
      <w:r w:rsidRPr="003C5269">
        <w:rPr>
          <w:sz w:val="24"/>
          <w:szCs w:val="24"/>
        </w:rPr>
        <w:t xml:space="preserve"> C, </w:t>
      </w:r>
      <w:proofErr w:type="spellStart"/>
      <w:r w:rsidRPr="003C5269">
        <w:rPr>
          <w:sz w:val="24"/>
          <w:szCs w:val="24"/>
        </w:rPr>
        <w:t>Giostra</w:t>
      </w:r>
      <w:proofErr w:type="spellEnd"/>
      <w:r>
        <w:rPr>
          <w:sz w:val="24"/>
          <w:szCs w:val="24"/>
        </w:rPr>
        <w:t xml:space="preserve"> A, </w:t>
      </w:r>
      <w:proofErr w:type="spellStart"/>
      <w:r>
        <w:rPr>
          <w:sz w:val="24"/>
          <w:szCs w:val="24"/>
        </w:rPr>
        <w:t>Olmi</w:t>
      </w:r>
      <w:proofErr w:type="spellEnd"/>
      <w:r>
        <w:rPr>
          <w:sz w:val="24"/>
          <w:szCs w:val="24"/>
        </w:rPr>
        <w:t xml:space="preserve"> P. </w:t>
      </w:r>
      <w:r w:rsidRPr="00A87BBA">
        <w:rPr>
          <w:i/>
          <w:sz w:val="24"/>
          <w:szCs w:val="24"/>
        </w:rPr>
        <w:t>Critical Reviews in Oncology/Hematology.</w:t>
      </w:r>
      <w:r w:rsidRPr="00A87BBA">
        <w:rPr>
          <w:sz w:val="24"/>
          <w:szCs w:val="24"/>
        </w:rPr>
        <w:t xml:space="preserve"> </w:t>
      </w:r>
      <w:r w:rsidRPr="003C5269">
        <w:rPr>
          <w:sz w:val="24"/>
          <w:szCs w:val="24"/>
        </w:rPr>
        <w:t>2010;</w:t>
      </w:r>
      <w:r>
        <w:rPr>
          <w:sz w:val="24"/>
          <w:szCs w:val="24"/>
        </w:rPr>
        <w:t xml:space="preserve"> </w:t>
      </w:r>
      <w:r w:rsidRPr="003C5269">
        <w:rPr>
          <w:sz w:val="24"/>
          <w:szCs w:val="24"/>
        </w:rPr>
        <w:t>73(2):111</w:t>
      </w:r>
      <w:r w:rsidRPr="00A87BBA">
        <w:rPr>
          <w:sz w:val="24"/>
          <w:szCs w:val="24"/>
        </w:rPr>
        <w:t>-</w:t>
      </w:r>
      <w:r w:rsidRPr="003C5269">
        <w:rPr>
          <w:sz w:val="24"/>
          <w:szCs w:val="24"/>
        </w:rPr>
        <w:t>125.</w:t>
      </w:r>
    </w:p>
    <w:p w14:paraId="4D0611CB" w14:textId="4080DB12" w:rsidR="00B2111D" w:rsidRDefault="00AE6E04" w:rsidP="00B2111D">
      <w:pPr>
        <w:pStyle w:val="Reference"/>
        <w:numPr>
          <w:ilvl w:val="0"/>
          <w:numId w:val="2"/>
        </w:numPr>
        <w:rPr>
          <w:sz w:val="24"/>
          <w:szCs w:val="24"/>
        </w:rPr>
      </w:pPr>
      <w:proofErr w:type="spellStart"/>
      <w:r w:rsidRPr="00B2111D">
        <w:rPr>
          <w:sz w:val="24"/>
          <w:szCs w:val="24"/>
        </w:rPr>
        <w:t>Maciejewski</w:t>
      </w:r>
      <w:proofErr w:type="spellEnd"/>
      <w:r w:rsidRPr="00B2111D">
        <w:rPr>
          <w:sz w:val="24"/>
          <w:szCs w:val="24"/>
        </w:rPr>
        <w:t xml:space="preserve"> B, Withers HR, Taylor JMG, </w:t>
      </w:r>
      <w:proofErr w:type="spellStart"/>
      <w:r w:rsidRPr="00B2111D">
        <w:rPr>
          <w:sz w:val="24"/>
          <w:szCs w:val="24"/>
        </w:rPr>
        <w:t>Hliniak</w:t>
      </w:r>
      <w:proofErr w:type="spellEnd"/>
      <w:r w:rsidRPr="00B2111D">
        <w:rPr>
          <w:sz w:val="24"/>
          <w:szCs w:val="24"/>
        </w:rPr>
        <w:t xml:space="preserve"> A. </w:t>
      </w:r>
      <w:r w:rsidRPr="00B2111D">
        <w:rPr>
          <w:i/>
          <w:sz w:val="24"/>
          <w:szCs w:val="24"/>
        </w:rPr>
        <w:t>International Journal of Radiation Oncology, Biology, Physics</w:t>
      </w:r>
      <w:r w:rsidRPr="00B2111D">
        <w:rPr>
          <w:sz w:val="24"/>
          <w:szCs w:val="24"/>
        </w:rPr>
        <w:t xml:space="preserve">. 1989; 16(3):831-843. </w:t>
      </w:r>
    </w:p>
    <w:p w14:paraId="235E6991" w14:textId="399A24F6" w:rsidR="00AE6E04" w:rsidRPr="00B2111D" w:rsidRDefault="00AE6E04" w:rsidP="00B2111D">
      <w:pPr>
        <w:pStyle w:val="Reference"/>
        <w:numPr>
          <w:ilvl w:val="0"/>
          <w:numId w:val="2"/>
        </w:numPr>
        <w:rPr>
          <w:sz w:val="24"/>
          <w:szCs w:val="24"/>
        </w:rPr>
      </w:pPr>
      <w:r w:rsidRPr="00B2111D">
        <w:rPr>
          <w:sz w:val="24"/>
          <w:szCs w:val="24"/>
        </w:rPr>
        <w:t xml:space="preserve">Gay HA, </w:t>
      </w:r>
      <w:proofErr w:type="spellStart"/>
      <w:r w:rsidRPr="00B2111D">
        <w:rPr>
          <w:sz w:val="24"/>
          <w:szCs w:val="24"/>
        </w:rPr>
        <w:t>Niemierko</w:t>
      </w:r>
      <w:proofErr w:type="spellEnd"/>
      <w:r w:rsidRPr="00B2111D">
        <w:rPr>
          <w:sz w:val="24"/>
          <w:szCs w:val="24"/>
        </w:rPr>
        <w:t xml:space="preserve"> A. </w:t>
      </w:r>
      <w:proofErr w:type="spellStart"/>
      <w:r w:rsidRPr="00B2111D">
        <w:rPr>
          <w:i/>
          <w:sz w:val="24"/>
          <w:szCs w:val="24"/>
        </w:rPr>
        <w:t>Physica</w:t>
      </w:r>
      <w:proofErr w:type="spellEnd"/>
      <w:r w:rsidRPr="00B2111D">
        <w:rPr>
          <w:i/>
          <w:sz w:val="24"/>
          <w:szCs w:val="24"/>
        </w:rPr>
        <w:t xml:space="preserve"> </w:t>
      </w:r>
      <w:proofErr w:type="spellStart"/>
      <w:r w:rsidRPr="00B2111D">
        <w:rPr>
          <w:i/>
          <w:sz w:val="24"/>
          <w:szCs w:val="24"/>
        </w:rPr>
        <w:t>Medica</w:t>
      </w:r>
      <w:proofErr w:type="spellEnd"/>
      <w:r w:rsidRPr="00B2111D">
        <w:rPr>
          <w:sz w:val="24"/>
          <w:szCs w:val="24"/>
        </w:rPr>
        <w:t>. 2007; 23(3-4):115-125.</w:t>
      </w:r>
    </w:p>
    <w:p w14:paraId="789D0154" w14:textId="77777777" w:rsidR="00AE6E04" w:rsidRDefault="00AE6E04" w:rsidP="009E098D">
      <w:pPr>
        <w:widowControl w:val="0"/>
        <w:autoSpaceDE w:val="0"/>
        <w:autoSpaceDN w:val="0"/>
        <w:adjustRightInd w:val="0"/>
        <w:ind w:firstLine="340"/>
        <w:jc w:val="both"/>
        <w:rPr>
          <w:sz w:val="28"/>
          <w:szCs w:val="28"/>
          <w:lang w:val="en-US"/>
        </w:rPr>
      </w:pPr>
    </w:p>
    <w:p w14:paraId="1A47DC5A" w14:textId="77777777" w:rsidR="00AE6E04" w:rsidRDefault="00AE6E04" w:rsidP="009E098D">
      <w:pPr>
        <w:widowControl w:val="0"/>
        <w:autoSpaceDE w:val="0"/>
        <w:autoSpaceDN w:val="0"/>
        <w:adjustRightInd w:val="0"/>
        <w:ind w:firstLine="340"/>
        <w:jc w:val="both"/>
        <w:rPr>
          <w:sz w:val="28"/>
          <w:szCs w:val="28"/>
          <w:lang w:val="en-US"/>
        </w:rPr>
      </w:pPr>
      <w:bookmarkStart w:id="0" w:name="_GoBack"/>
      <w:bookmarkEnd w:id="0"/>
    </w:p>
    <w:sectPr w:rsidR="00AE6E04" w:rsidSect="00C775A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5A55" w14:textId="77777777" w:rsidR="00570B10" w:rsidRDefault="00570B10" w:rsidP="004061C2">
      <w:r>
        <w:separator/>
      </w:r>
    </w:p>
  </w:endnote>
  <w:endnote w:type="continuationSeparator" w:id="0">
    <w:p w14:paraId="11D01244" w14:textId="77777777" w:rsidR="00570B10" w:rsidRDefault="00570B10"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5131" w14:textId="77777777" w:rsidR="00570B10" w:rsidRDefault="00570B10" w:rsidP="004061C2">
      <w:r>
        <w:separator/>
      </w:r>
    </w:p>
  </w:footnote>
  <w:footnote w:type="continuationSeparator" w:id="0">
    <w:p w14:paraId="6CA3DAB6" w14:textId="77777777" w:rsidR="00570B10" w:rsidRDefault="00570B10" w:rsidP="00406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3310" w14:textId="77777777" w:rsidR="004061C2" w:rsidRDefault="004061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7CE3"/>
    <w:multiLevelType w:val="hybridMultilevel"/>
    <w:tmpl w:val="87B6EA7C"/>
    <w:lvl w:ilvl="0" w:tplc="FFFFFFFF">
      <w:start w:val="1"/>
      <w:numFmt w:val="decimal"/>
      <w:pStyle w:val="Reference"/>
      <w:lvlText w:val="%1."/>
      <w:lvlJc w:val="left"/>
      <w:pPr>
        <w:ind w:left="786"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901536"/>
    <w:multiLevelType w:val="hybridMultilevel"/>
    <w:tmpl w:val="D19CF74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2A"/>
    <w:rsid w:val="00074B75"/>
    <w:rsid w:val="00077BC8"/>
    <w:rsid w:val="000A3381"/>
    <w:rsid w:val="001A39D1"/>
    <w:rsid w:val="001A7891"/>
    <w:rsid w:val="001D482A"/>
    <w:rsid w:val="002A15E7"/>
    <w:rsid w:val="003468B3"/>
    <w:rsid w:val="003A4FBF"/>
    <w:rsid w:val="004061C2"/>
    <w:rsid w:val="00490684"/>
    <w:rsid w:val="004E661F"/>
    <w:rsid w:val="00570B10"/>
    <w:rsid w:val="005A1D51"/>
    <w:rsid w:val="006B0359"/>
    <w:rsid w:val="007B3E28"/>
    <w:rsid w:val="007E7481"/>
    <w:rsid w:val="008F7BD7"/>
    <w:rsid w:val="009067A0"/>
    <w:rsid w:val="009E098D"/>
    <w:rsid w:val="009E4D25"/>
    <w:rsid w:val="00A8203D"/>
    <w:rsid w:val="00AE6E04"/>
    <w:rsid w:val="00B2111D"/>
    <w:rsid w:val="00B4673C"/>
    <w:rsid w:val="00BE3BD5"/>
    <w:rsid w:val="00C47E0A"/>
    <w:rsid w:val="00C575B6"/>
    <w:rsid w:val="00C775A5"/>
    <w:rsid w:val="00CC7E21"/>
    <w:rsid w:val="00D077E6"/>
    <w:rsid w:val="00D56C0A"/>
    <w:rsid w:val="00D9628D"/>
    <w:rsid w:val="00DD178D"/>
    <w:rsid w:val="00E13B3D"/>
    <w:rsid w:val="00E5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customStyle="1" w:styleId="Reference">
    <w:name w:val="Reference"/>
    <w:basedOn w:val="a"/>
    <w:rsid w:val="00AE6E04"/>
    <w:pPr>
      <w:numPr>
        <w:numId w:val="1"/>
      </w:numPr>
      <w:jc w:val="both"/>
    </w:pPr>
    <w:rPr>
      <w:rFonts w:eastAsia="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2022-04-24T11:40:00Z</dcterms:created>
  <dcterms:modified xsi:type="dcterms:W3CDTF">2022-04-24T11:40:00Z</dcterms:modified>
</cp:coreProperties>
</file>