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76" w:rsidRPr="0062686F" w:rsidRDefault="005060F2" w:rsidP="00412C19">
      <w:pPr>
        <w:jc w:val="center"/>
        <w:rPr>
          <w:b/>
          <w:w w:val="95"/>
          <w:sz w:val="32"/>
          <w:szCs w:val="32"/>
          <w:lang w:val="en-US"/>
        </w:rPr>
      </w:pPr>
      <w:r w:rsidRPr="0062686F">
        <w:rPr>
          <w:b/>
          <w:w w:val="95"/>
          <w:sz w:val="32"/>
          <w:szCs w:val="32"/>
          <w:lang w:val="en-US"/>
        </w:rPr>
        <w:t xml:space="preserve">STUDY OF </w:t>
      </w:r>
      <w:r w:rsidR="006A48E9" w:rsidRPr="0062686F">
        <w:rPr>
          <w:b/>
          <w:w w:val="95"/>
          <w:sz w:val="32"/>
          <w:szCs w:val="32"/>
          <w:lang w:val="en-US"/>
        </w:rPr>
        <w:t xml:space="preserve">EXCITATION </w:t>
      </w:r>
      <w:r w:rsidR="004F0127" w:rsidRPr="0062686F">
        <w:rPr>
          <w:b/>
          <w:w w:val="95"/>
          <w:sz w:val="32"/>
          <w:szCs w:val="32"/>
          <w:lang w:val="en-US"/>
        </w:rPr>
        <w:t xml:space="preserve">FUNCTIONS </w:t>
      </w:r>
      <w:r w:rsidR="00F901BB" w:rsidRPr="0062686F">
        <w:rPr>
          <w:b/>
          <w:w w:val="95"/>
          <w:sz w:val="32"/>
          <w:szCs w:val="32"/>
          <w:lang w:val="en-US"/>
        </w:rPr>
        <w:t>FOR</w:t>
      </w:r>
      <w:r w:rsidR="004F0127" w:rsidRPr="0062686F">
        <w:rPr>
          <w:b/>
          <w:w w:val="95"/>
          <w:sz w:val="32"/>
          <w:szCs w:val="32"/>
          <w:lang w:val="en-US"/>
        </w:rPr>
        <w:t xml:space="preserve"> </w:t>
      </w:r>
      <w:r w:rsidR="006A48E9" w:rsidRPr="0062686F">
        <w:rPr>
          <w:b/>
          <w:w w:val="95"/>
          <w:sz w:val="32"/>
          <w:szCs w:val="32"/>
          <w:lang w:val="en-US"/>
        </w:rPr>
        <w:t>TRANSFER</w:t>
      </w:r>
      <w:r w:rsidR="004F0127" w:rsidRPr="0062686F">
        <w:rPr>
          <w:b/>
          <w:w w:val="95"/>
          <w:sz w:val="32"/>
          <w:szCs w:val="32"/>
          <w:lang w:val="en-US"/>
        </w:rPr>
        <w:t xml:space="preserve"> </w:t>
      </w:r>
      <w:r w:rsidR="000C1CDA" w:rsidRPr="0062686F">
        <w:rPr>
          <w:b/>
          <w:w w:val="95"/>
          <w:sz w:val="32"/>
          <w:szCs w:val="32"/>
          <w:lang w:val="en-US"/>
        </w:rPr>
        <w:t xml:space="preserve">REACTIONS </w:t>
      </w:r>
      <w:r w:rsidR="00F901BB" w:rsidRPr="0062686F">
        <w:rPr>
          <w:b/>
          <w:w w:val="95"/>
          <w:sz w:val="32"/>
          <w:szCs w:val="32"/>
          <w:vertAlign w:val="superscript"/>
          <w:lang w:val="en-US"/>
        </w:rPr>
        <w:t>197</w:t>
      </w:r>
      <w:r w:rsidR="00F901BB" w:rsidRPr="0062686F">
        <w:rPr>
          <w:b/>
          <w:w w:val="95"/>
          <w:sz w:val="32"/>
          <w:szCs w:val="32"/>
          <w:lang w:val="en-US"/>
        </w:rPr>
        <w:t>Au</w:t>
      </w:r>
      <w:r w:rsidRPr="0062686F">
        <w:rPr>
          <w:b/>
          <w:w w:val="95"/>
          <w:sz w:val="32"/>
          <w:szCs w:val="32"/>
          <w:lang w:val="en-US"/>
        </w:rPr>
        <w:t>(</w:t>
      </w:r>
      <w:r w:rsidRPr="0062686F">
        <w:rPr>
          <w:b/>
          <w:w w:val="95"/>
          <w:sz w:val="32"/>
          <w:szCs w:val="32"/>
          <w:vertAlign w:val="superscript"/>
          <w:lang w:val="en-US"/>
        </w:rPr>
        <w:t>3</w:t>
      </w:r>
      <w:r w:rsidRPr="0062686F">
        <w:rPr>
          <w:b/>
          <w:w w:val="95"/>
          <w:sz w:val="32"/>
          <w:szCs w:val="32"/>
          <w:lang w:val="en-US"/>
        </w:rPr>
        <w:t>He, </w:t>
      </w:r>
      <w:r w:rsidRPr="0062686F">
        <w:rPr>
          <w:b/>
          <w:i/>
          <w:w w:val="95"/>
          <w:sz w:val="32"/>
          <w:szCs w:val="32"/>
          <w:lang w:val="en-US"/>
        </w:rPr>
        <w:t>d</w:t>
      </w:r>
      <w:r w:rsidRPr="0062686F">
        <w:rPr>
          <w:b/>
          <w:w w:val="95"/>
          <w:sz w:val="32"/>
          <w:szCs w:val="32"/>
          <w:lang w:val="en-US"/>
        </w:rPr>
        <w:t>)</w:t>
      </w:r>
      <w:r w:rsidRPr="0062686F">
        <w:rPr>
          <w:b/>
          <w:w w:val="95"/>
          <w:sz w:val="32"/>
          <w:szCs w:val="32"/>
          <w:vertAlign w:val="superscript"/>
          <w:lang w:val="en-US"/>
        </w:rPr>
        <w:t>198</w:t>
      </w:r>
      <w:r w:rsidRPr="0062686F">
        <w:rPr>
          <w:b/>
          <w:w w:val="95"/>
          <w:sz w:val="32"/>
          <w:szCs w:val="32"/>
          <w:lang w:val="en-US"/>
        </w:rPr>
        <w:t xml:space="preserve">Hg AND </w:t>
      </w:r>
      <w:r w:rsidRPr="0062686F">
        <w:rPr>
          <w:b/>
          <w:w w:val="95"/>
          <w:sz w:val="32"/>
          <w:szCs w:val="32"/>
          <w:vertAlign w:val="superscript"/>
          <w:lang w:val="en-US"/>
        </w:rPr>
        <w:t>197</w:t>
      </w:r>
      <w:r w:rsidRPr="0062686F">
        <w:rPr>
          <w:b/>
          <w:w w:val="95"/>
          <w:sz w:val="32"/>
          <w:szCs w:val="32"/>
          <w:lang w:val="en-US"/>
        </w:rPr>
        <w:t>Au(</w:t>
      </w:r>
      <w:r w:rsidRPr="0062686F">
        <w:rPr>
          <w:b/>
          <w:w w:val="95"/>
          <w:sz w:val="32"/>
          <w:szCs w:val="32"/>
          <w:vertAlign w:val="superscript"/>
          <w:lang w:val="en-US"/>
        </w:rPr>
        <w:t>3</w:t>
      </w:r>
      <w:r w:rsidRPr="0062686F">
        <w:rPr>
          <w:b/>
          <w:w w:val="95"/>
          <w:sz w:val="32"/>
          <w:szCs w:val="32"/>
          <w:lang w:val="en-US"/>
        </w:rPr>
        <w:t>He, </w:t>
      </w:r>
      <w:r w:rsidRPr="0062686F">
        <w:rPr>
          <w:b/>
          <w:i/>
          <w:w w:val="95"/>
          <w:sz w:val="32"/>
          <w:szCs w:val="32"/>
          <w:lang w:val="en-US"/>
        </w:rPr>
        <w:t>t</w:t>
      </w:r>
      <w:r w:rsidRPr="0062686F">
        <w:rPr>
          <w:b/>
          <w:w w:val="95"/>
          <w:sz w:val="32"/>
          <w:szCs w:val="32"/>
          <w:lang w:val="en-US"/>
        </w:rPr>
        <w:t>)</w:t>
      </w:r>
      <w:r w:rsidRPr="0062686F">
        <w:rPr>
          <w:b/>
          <w:w w:val="95"/>
          <w:sz w:val="32"/>
          <w:szCs w:val="32"/>
          <w:vertAlign w:val="superscript"/>
          <w:lang w:val="en-US"/>
        </w:rPr>
        <w:t>197</w:t>
      </w:r>
      <w:r w:rsidRPr="0062686F">
        <w:rPr>
          <w:b/>
          <w:w w:val="95"/>
          <w:sz w:val="32"/>
          <w:szCs w:val="32"/>
          <w:lang w:val="en-US"/>
        </w:rPr>
        <w:t>Hg</w:t>
      </w:r>
      <w:r w:rsidR="002B76B7">
        <w:rPr>
          <w:b/>
          <w:w w:val="95"/>
          <w:sz w:val="32"/>
          <w:szCs w:val="32"/>
          <w:lang w:val="en-US"/>
        </w:rPr>
        <w:br/>
      </w:r>
      <w:r w:rsidR="00F901BB" w:rsidRPr="0062686F">
        <w:rPr>
          <w:b/>
          <w:w w:val="95"/>
          <w:sz w:val="32"/>
          <w:szCs w:val="32"/>
          <w:lang w:val="en-US"/>
        </w:rPr>
        <w:t xml:space="preserve">WITH </w:t>
      </w:r>
      <w:r w:rsidRPr="0062686F">
        <w:rPr>
          <w:b/>
          <w:w w:val="95"/>
          <w:sz w:val="32"/>
          <w:szCs w:val="32"/>
          <w:vertAlign w:val="superscript"/>
          <w:lang w:val="en-US"/>
        </w:rPr>
        <w:t>3</w:t>
      </w:r>
      <w:r w:rsidRPr="0062686F">
        <w:rPr>
          <w:b/>
          <w:w w:val="95"/>
          <w:sz w:val="32"/>
          <w:szCs w:val="32"/>
          <w:lang w:val="en-US"/>
        </w:rPr>
        <w:t xml:space="preserve">He BEAMS </w:t>
      </w:r>
      <w:r w:rsidR="00F901BB" w:rsidRPr="0062686F">
        <w:rPr>
          <w:b/>
          <w:w w:val="95"/>
          <w:sz w:val="32"/>
          <w:szCs w:val="32"/>
          <w:lang w:val="en-US"/>
        </w:rPr>
        <w:t>AT</w:t>
      </w:r>
      <w:r w:rsidRPr="0062686F">
        <w:rPr>
          <w:b/>
          <w:w w:val="95"/>
          <w:sz w:val="32"/>
          <w:szCs w:val="32"/>
          <w:lang w:val="en-US"/>
        </w:rPr>
        <w:t xml:space="preserve"> ENERGY UP TO 30 MeV</w:t>
      </w:r>
    </w:p>
    <w:p w:rsidR="0012120A" w:rsidRPr="0062686F" w:rsidRDefault="0012120A" w:rsidP="00412C19">
      <w:pPr>
        <w:jc w:val="center"/>
        <w:rPr>
          <w:w w:val="95"/>
          <w:sz w:val="24"/>
          <w:szCs w:val="24"/>
          <w:lang w:val="en-US"/>
        </w:rPr>
      </w:pPr>
    </w:p>
    <w:p w:rsidR="00936979" w:rsidRPr="007E14F4" w:rsidRDefault="00936979" w:rsidP="00412C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62686F">
        <w:rPr>
          <w:sz w:val="28"/>
          <w:szCs w:val="28"/>
          <w:lang w:val="en-US"/>
        </w:rPr>
        <w:t>N. K. Skobelev</w:t>
      </w:r>
      <w:r w:rsidRPr="0062686F">
        <w:rPr>
          <w:sz w:val="28"/>
          <w:szCs w:val="28"/>
          <w:vertAlign w:val="superscript"/>
          <w:lang w:val="en-US"/>
        </w:rPr>
        <w:t>1</w:t>
      </w:r>
      <w:r w:rsidRPr="0062686F">
        <w:rPr>
          <w:sz w:val="28"/>
          <w:szCs w:val="28"/>
          <w:lang w:val="en-US"/>
        </w:rPr>
        <w:t>, T. Issatayev</w:t>
      </w:r>
      <w:r w:rsidRPr="0062686F">
        <w:rPr>
          <w:sz w:val="28"/>
          <w:szCs w:val="28"/>
          <w:vertAlign w:val="superscript"/>
          <w:lang w:val="en-US"/>
        </w:rPr>
        <w:t>1</w:t>
      </w:r>
      <w:r w:rsidRPr="0062686F">
        <w:rPr>
          <w:sz w:val="28"/>
          <w:szCs w:val="28"/>
          <w:lang w:val="en-US"/>
        </w:rPr>
        <w:t>,</w:t>
      </w:r>
      <w:r w:rsidR="002A38D1" w:rsidRPr="0062686F">
        <w:rPr>
          <w:sz w:val="28"/>
          <w:szCs w:val="28"/>
          <w:lang w:val="en-US"/>
        </w:rPr>
        <w:t xml:space="preserve"> </w:t>
      </w:r>
      <w:r w:rsidR="00F901BB" w:rsidRPr="0062686F">
        <w:rPr>
          <w:sz w:val="28"/>
          <w:szCs w:val="28"/>
          <w:lang w:val="en-US"/>
        </w:rPr>
        <w:t>Y</w:t>
      </w:r>
      <w:r w:rsidRPr="0062686F">
        <w:rPr>
          <w:sz w:val="28"/>
          <w:szCs w:val="28"/>
          <w:lang w:val="en-US"/>
        </w:rPr>
        <w:t>u. E. P</w:t>
      </w:r>
      <w:r w:rsidR="002A38D1" w:rsidRPr="0062686F">
        <w:rPr>
          <w:sz w:val="28"/>
          <w:szCs w:val="28"/>
          <w:lang w:val="en-US"/>
        </w:rPr>
        <w:t>enionzhkevich</w:t>
      </w:r>
      <w:r w:rsidRPr="0062686F">
        <w:rPr>
          <w:sz w:val="28"/>
          <w:szCs w:val="28"/>
          <w:vertAlign w:val="superscript"/>
          <w:lang w:val="en-US"/>
        </w:rPr>
        <w:t>1</w:t>
      </w:r>
      <w:r w:rsidRPr="0062686F">
        <w:rPr>
          <w:sz w:val="28"/>
          <w:szCs w:val="28"/>
          <w:lang w:val="en-US"/>
        </w:rPr>
        <w:t xml:space="preserve">, </w:t>
      </w:r>
      <w:r w:rsidR="002A38D1" w:rsidRPr="0062686F">
        <w:rPr>
          <w:sz w:val="28"/>
          <w:szCs w:val="28"/>
          <w:lang w:val="en-US"/>
        </w:rPr>
        <w:t>J. Mr</w:t>
      </w:r>
      <w:r w:rsidR="00C97EB6" w:rsidRPr="0062686F">
        <w:rPr>
          <w:sz w:val="28"/>
          <w:szCs w:val="28"/>
          <w:lang w:val="en-US"/>
        </w:rPr>
        <w:t>á</w:t>
      </w:r>
      <w:r w:rsidR="002A38D1" w:rsidRPr="0062686F">
        <w:rPr>
          <w:sz w:val="28"/>
          <w:szCs w:val="28"/>
          <w:lang w:val="en-US"/>
        </w:rPr>
        <w:t>zek</w:t>
      </w:r>
      <w:r w:rsidRPr="0062686F">
        <w:rPr>
          <w:sz w:val="28"/>
          <w:szCs w:val="28"/>
          <w:vertAlign w:val="superscript"/>
          <w:lang w:val="en-US"/>
        </w:rPr>
        <w:t>2</w:t>
      </w:r>
      <w:r w:rsidRPr="0062686F">
        <w:rPr>
          <w:sz w:val="28"/>
          <w:szCs w:val="28"/>
          <w:lang w:val="en-US"/>
        </w:rPr>
        <w:t xml:space="preserve">, </w:t>
      </w:r>
      <w:r w:rsidR="002A38D1" w:rsidRPr="0062686F">
        <w:rPr>
          <w:sz w:val="28"/>
          <w:szCs w:val="28"/>
          <w:lang w:val="en-US"/>
        </w:rPr>
        <w:t>V.</w:t>
      </w:r>
      <w:r w:rsidRPr="0062686F">
        <w:rPr>
          <w:sz w:val="28"/>
          <w:szCs w:val="28"/>
          <w:lang w:val="en-US"/>
        </w:rPr>
        <w:t xml:space="preserve"> </w:t>
      </w:r>
      <w:r w:rsidR="00F901BB" w:rsidRPr="0062686F">
        <w:rPr>
          <w:sz w:val="28"/>
          <w:szCs w:val="28"/>
          <w:lang w:val="en-US"/>
        </w:rPr>
        <w:t>B</w:t>
      </w:r>
      <w:r w:rsidR="002A38D1" w:rsidRPr="0062686F">
        <w:rPr>
          <w:sz w:val="28"/>
          <w:szCs w:val="28"/>
          <w:lang w:val="en-US"/>
        </w:rPr>
        <w:t>urjan</w:t>
      </w:r>
      <w:r w:rsidRPr="0062686F">
        <w:rPr>
          <w:sz w:val="28"/>
          <w:szCs w:val="28"/>
          <w:vertAlign w:val="superscript"/>
          <w:lang w:val="en-US"/>
        </w:rPr>
        <w:t>2</w:t>
      </w:r>
    </w:p>
    <w:p w:rsidR="00936979" w:rsidRPr="0062686F" w:rsidRDefault="00936979" w:rsidP="00412C19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en-US"/>
        </w:rPr>
      </w:pPr>
      <w:r w:rsidRPr="0062686F">
        <w:rPr>
          <w:i/>
          <w:iCs/>
          <w:sz w:val="24"/>
          <w:szCs w:val="24"/>
          <w:vertAlign w:val="superscript"/>
          <w:lang w:val="en-US"/>
        </w:rPr>
        <w:t>1 </w:t>
      </w:r>
      <w:r w:rsidRPr="0062686F">
        <w:rPr>
          <w:i/>
          <w:iCs/>
          <w:sz w:val="24"/>
          <w:szCs w:val="24"/>
          <w:lang w:val="en-US"/>
        </w:rPr>
        <w:t>Joint Institute for Nuclear Research, Dubna</w:t>
      </w:r>
      <w:r w:rsidRPr="0062686F">
        <w:rPr>
          <w:sz w:val="24"/>
          <w:szCs w:val="24"/>
          <w:lang w:val="en-US"/>
        </w:rPr>
        <w:t>,</w:t>
      </w:r>
      <w:r w:rsidRPr="0062686F">
        <w:rPr>
          <w:i/>
          <w:iCs/>
          <w:sz w:val="24"/>
          <w:szCs w:val="24"/>
          <w:lang w:val="en-US"/>
        </w:rPr>
        <w:t xml:space="preserve"> Russia; </w:t>
      </w:r>
      <w:r w:rsidRPr="0062686F">
        <w:rPr>
          <w:i/>
          <w:iCs/>
          <w:sz w:val="24"/>
          <w:szCs w:val="24"/>
          <w:vertAlign w:val="superscript"/>
          <w:lang w:val="en-US"/>
        </w:rPr>
        <w:t>2</w:t>
      </w:r>
      <w:r w:rsidR="0062686F">
        <w:rPr>
          <w:i/>
          <w:iCs/>
          <w:sz w:val="24"/>
          <w:szCs w:val="24"/>
          <w:vertAlign w:val="superscript"/>
          <w:lang w:val="en-US"/>
        </w:rPr>
        <w:t> </w:t>
      </w:r>
      <w:r w:rsidRPr="0062686F">
        <w:rPr>
          <w:i/>
          <w:iCs/>
          <w:sz w:val="24"/>
          <w:szCs w:val="24"/>
          <w:lang w:val="en-US"/>
        </w:rPr>
        <w:t>Nuclear Physic Institute,</w:t>
      </w:r>
      <w:r w:rsidR="00F901BB" w:rsidRPr="0062686F">
        <w:rPr>
          <w:i/>
          <w:iCs/>
          <w:sz w:val="24"/>
          <w:szCs w:val="24"/>
          <w:lang w:val="en-US"/>
        </w:rPr>
        <w:t xml:space="preserve"> </w:t>
      </w:r>
      <w:r w:rsidR="00A92A5D" w:rsidRPr="00A92A5D">
        <w:rPr>
          <w:i/>
          <w:iCs/>
          <w:sz w:val="24"/>
          <w:szCs w:val="24"/>
          <w:lang w:val="en-US"/>
        </w:rPr>
        <w:t>Řež</w:t>
      </w:r>
      <w:r w:rsidRPr="0062686F">
        <w:rPr>
          <w:i/>
          <w:iCs/>
          <w:sz w:val="24"/>
          <w:szCs w:val="24"/>
          <w:lang w:val="en-US"/>
        </w:rPr>
        <w:t>,</w:t>
      </w:r>
      <w:r w:rsidR="00785373" w:rsidRPr="0062686F">
        <w:rPr>
          <w:i/>
          <w:iCs/>
          <w:sz w:val="24"/>
          <w:szCs w:val="24"/>
          <w:lang w:val="en-US"/>
        </w:rPr>
        <w:br/>
      </w:r>
      <w:r w:rsidR="00F901BB" w:rsidRPr="0062686F">
        <w:rPr>
          <w:i/>
          <w:iCs/>
          <w:sz w:val="24"/>
          <w:szCs w:val="24"/>
          <w:lang w:val="en-US"/>
        </w:rPr>
        <w:t>Czech</w:t>
      </w:r>
      <w:r w:rsidRPr="0062686F">
        <w:rPr>
          <w:i/>
          <w:iCs/>
          <w:sz w:val="24"/>
          <w:szCs w:val="24"/>
          <w:lang w:val="en-US"/>
        </w:rPr>
        <w:t xml:space="preserve"> Republic</w:t>
      </w:r>
    </w:p>
    <w:p w:rsidR="00936979" w:rsidRPr="0062686F" w:rsidRDefault="00936979" w:rsidP="00412C19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62686F">
        <w:rPr>
          <w:sz w:val="24"/>
          <w:szCs w:val="24"/>
          <w:lang w:val="en-US"/>
        </w:rPr>
        <w:tab/>
        <w:t xml:space="preserve">E-mail: </w:t>
      </w:r>
      <w:r w:rsidR="001B56BB" w:rsidRPr="0062686F">
        <w:rPr>
          <w:sz w:val="24"/>
          <w:szCs w:val="24"/>
          <w:lang w:val="en-US"/>
        </w:rPr>
        <w:t>talgat_136@mail.ru</w:t>
      </w:r>
      <w:r w:rsidRPr="0062686F">
        <w:rPr>
          <w:sz w:val="24"/>
          <w:szCs w:val="24"/>
          <w:lang w:val="en-US"/>
        </w:rPr>
        <w:tab/>
      </w:r>
    </w:p>
    <w:p w:rsidR="00231276" w:rsidRPr="0062686F" w:rsidRDefault="00231276" w:rsidP="00412C19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8015DE" w:rsidRPr="0062686F" w:rsidRDefault="00231276" w:rsidP="00412C19">
      <w:pPr>
        <w:ind w:firstLine="340"/>
        <w:jc w:val="both"/>
        <w:rPr>
          <w:sz w:val="27"/>
          <w:szCs w:val="27"/>
          <w:lang w:val="en-US"/>
        </w:rPr>
      </w:pPr>
      <w:r w:rsidRPr="0062686F">
        <w:rPr>
          <w:sz w:val="28"/>
          <w:szCs w:val="28"/>
          <w:lang w:val="en-US"/>
        </w:rPr>
        <w:t xml:space="preserve">In charge-exchange reactions, only charges </w:t>
      </w:r>
      <w:r w:rsidR="00F901BB" w:rsidRPr="0062686F">
        <w:rPr>
          <w:sz w:val="28"/>
          <w:szCs w:val="28"/>
          <w:lang w:val="en-US"/>
        </w:rPr>
        <w:t>of atomic nuclei</w:t>
      </w:r>
      <w:r w:rsidR="00F901BB" w:rsidRPr="0062686F">
        <w:rPr>
          <w:sz w:val="28"/>
          <w:szCs w:val="28"/>
          <w:lang w:val="en-US"/>
        </w:rPr>
        <w:t xml:space="preserve"> </w:t>
      </w:r>
      <w:r w:rsidRPr="0062686F">
        <w:rPr>
          <w:sz w:val="28"/>
          <w:szCs w:val="28"/>
          <w:lang w:val="en-US"/>
        </w:rPr>
        <w:t xml:space="preserve">change, while the total number of nucleons is preserved. </w:t>
      </w:r>
      <w:r w:rsidR="00595933" w:rsidRPr="0062686F">
        <w:rPr>
          <w:sz w:val="28"/>
          <w:szCs w:val="28"/>
          <w:lang w:val="en-US"/>
        </w:rPr>
        <w:t xml:space="preserve">Charge-exchange reactions are a </w:t>
      </w:r>
      <w:r w:rsidR="002B292A">
        <w:rPr>
          <w:sz w:val="28"/>
          <w:szCs w:val="28"/>
          <w:lang w:val="en-US"/>
        </w:rPr>
        <w:t>particular</w:t>
      </w:r>
      <w:r w:rsidR="00595933" w:rsidRPr="0062686F">
        <w:rPr>
          <w:sz w:val="28"/>
          <w:szCs w:val="28"/>
          <w:lang w:val="en-US"/>
        </w:rPr>
        <w:t xml:space="preserve"> cas</w:t>
      </w:r>
      <w:r w:rsidR="00F901BB" w:rsidRPr="0062686F">
        <w:rPr>
          <w:sz w:val="28"/>
          <w:szCs w:val="28"/>
          <w:lang w:val="en-US"/>
        </w:rPr>
        <w:t>e of transfer reactions. Charge-</w:t>
      </w:r>
      <w:r w:rsidR="00595933" w:rsidRPr="0062686F">
        <w:rPr>
          <w:sz w:val="28"/>
          <w:szCs w:val="28"/>
          <w:lang w:val="en-US"/>
        </w:rPr>
        <w:t>exchange reactions (</w:t>
      </w:r>
      <w:r w:rsidR="00595933" w:rsidRPr="0062686F">
        <w:rPr>
          <w:sz w:val="28"/>
          <w:szCs w:val="28"/>
          <w:vertAlign w:val="superscript"/>
          <w:lang w:val="en-US"/>
        </w:rPr>
        <w:t>3</w:t>
      </w:r>
      <w:r w:rsidR="00595933" w:rsidRPr="0062686F">
        <w:rPr>
          <w:sz w:val="28"/>
          <w:szCs w:val="28"/>
          <w:lang w:val="en-US"/>
        </w:rPr>
        <w:t>He,</w:t>
      </w:r>
      <w:r w:rsidR="0062686F">
        <w:rPr>
          <w:sz w:val="28"/>
          <w:szCs w:val="28"/>
          <w:lang w:val="en-US"/>
        </w:rPr>
        <w:t> </w:t>
      </w:r>
      <w:r w:rsidR="00595933" w:rsidRPr="0062686F">
        <w:rPr>
          <w:i/>
          <w:sz w:val="28"/>
          <w:szCs w:val="28"/>
          <w:lang w:val="en-US"/>
        </w:rPr>
        <w:t>t</w:t>
      </w:r>
      <w:r w:rsidR="00595933" w:rsidRPr="0062686F">
        <w:rPr>
          <w:sz w:val="28"/>
          <w:szCs w:val="28"/>
          <w:lang w:val="en-US"/>
        </w:rPr>
        <w:t>) as well as reactions (</w:t>
      </w:r>
      <w:r w:rsidR="00595933" w:rsidRPr="0062686F">
        <w:rPr>
          <w:i/>
          <w:sz w:val="28"/>
          <w:szCs w:val="28"/>
          <w:lang w:val="en-US"/>
        </w:rPr>
        <w:t>n</w:t>
      </w:r>
      <w:r w:rsidR="00595933" w:rsidRPr="0062686F">
        <w:rPr>
          <w:sz w:val="28"/>
          <w:szCs w:val="28"/>
          <w:lang w:val="en-US"/>
        </w:rPr>
        <w:t>,</w:t>
      </w:r>
      <w:r w:rsidR="0062686F">
        <w:rPr>
          <w:sz w:val="28"/>
          <w:szCs w:val="28"/>
          <w:lang w:val="en-US"/>
        </w:rPr>
        <w:t> </w:t>
      </w:r>
      <w:r w:rsidR="00595933" w:rsidRPr="0062686F">
        <w:rPr>
          <w:i/>
          <w:sz w:val="28"/>
          <w:szCs w:val="28"/>
          <w:lang w:val="en-US"/>
        </w:rPr>
        <w:t>p</w:t>
      </w:r>
      <w:r w:rsidR="00595933" w:rsidRPr="0062686F">
        <w:rPr>
          <w:sz w:val="28"/>
          <w:szCs w:val="28"/>
          <w:lang w:val="en-US"/>
        </w:rPr>
        <w:t xml:space="preserve">) </w:t>
      </w:r>
      <w:r w:rsidR="00F901BB" w:rsidRPr="0062686F">
        <w:rPr>
          <w:sz w:val="28"/>
          <w:szCs w:val="28"/>
          <w:lang w:val="en-US"/>
        </w:rPr>
        <w:t>play</w:t>
      </w:r>
      <w:r w:rsidR="00595933" w:rsidRPr="0062686F">
        <w:rPr>
          <w:sz w:val="28"/>
          <w:szCs w:val="28"/>
          <w:lang w:val="en-US"/>
        </w:rPr>
        <w:t xml:space="preserve"> a special </w:t>
      </w:r>
      <w:r w:rsidR="00F901BB" w:rsidRPr="0062686F">
        <w:rPr>
          <w:sz w:val="28"/>
          <w:szCs w:val="28"/>
          <w:lang w:val="en-US"/>
        </w:rPr>
        <w:t>role</w:t>
      </w:r>
      <w:r w:rsidR="00595933" w:rsidRPr="0062686F">
        <w:rPr>
          <w:sz w:val="28"/>
          <w:szCs w:val="28"/>
          <w:lang w:val="en-US"/>
        </w:rPr>
        <w:t xml:space="preserve">. </w:t>
      </w:r>
      <w:r w:rsidRPr="0062686F">
        <w:rPr>
          <w:sz w:val="28"/>
          <w:szCs w:val="28"/>
          <w:lang w:val="en-US"/>
        </w:rPr>
        <w:t xml:space="preserve">These reactions lead to excitation of isobar-analogue and other single-particle states in the </w:t>
      </w:r>
      <w:r w:rsidR="008015DE" w:rsidRPr="0062686F">
        <w:rPr>
          <w:sz w:val="28"/>
          <w:szCs w:val="28"/>
          <w:lang w:val="en-US"/>
        </w:rPr>
        <w:t>residu</w:t>
      </w:r>
      <w:r w:rsidR="00F901BB" w:rsidRPr="0062686F">
        <w:rPr>
          <w:sz w:val="28"/>
          <w:szCs w:val="28"/>
          <w:lang w:val="en-US"/>
        </w:rPr>
        <w:t>al</w:t>
      </w:r>
      <w:r w:rsidR="008015DE" w:rsidRPr="0062686F">
        <w:rPr>
          <w:sz w:val="28"/>
          <w:szCs w:val="28"/>
          <w:lang w:val="en-US"/>
        </w:rPr>
        <w:t xml:space="preserve"> </w:t>
      </w:r>
      <w:r w:rsidRPr="0062686F">
        <w:rPr>
          <w:sz w:val="28"/>
          <w:szCs w:val="28"/>
          <w:lang w:val="en-US"/>
        </w:rPr>
        <w:t>nucleus.</w:t>
      </w:r>
    </w:p>
    <w:p w:rsidR="00800401" w:rsidRPr="0062686F" w:rsidRDefault="00231276" w:rsidP="00412C19">
      <w:pPr>
        <w:shd w:val="clear" w:color="auto" w:fill="FFFFFF"/>
        <w:ind w:firstLine="340"/>
        <w:jc w:val="both"/>
        <w:rPr>
          <w:sz w:val="27"/>
          <w:szCs w:val="27"/>
          <w:lang w:val="en-US"/>
        </w:rPr>
      </w:pPr>
      <w:r w:rsidRPr="0062686F">
        <w:rPr>
          <w:sz w:val="28"/>
          <w:szCs w:val="28"/>
          <w:lang w:val="en-US"/>
        </w:rPr>
        <w:t xml:space="preserve">The integral cross sections </w:t>
      </w:r>
      <w:r w:rsidR="002B292A">
        <w:rPr>
          <w:sz w:val="28"/>
          <w:szCs w:val="28"/>
          <w:lang w:val="en-US"/>
        </w:rPr>
        <w:t>for</w:t>
      </w:r>
      <w:r w:rsidRPr="0062686F">
        <w:rPr>
          <w:sz w:val="28"/>
          <w:szCs w:val="28"/>
          <w:lang w:val="en-US"/>
        </w:rPr>
        <w:t xml:space="preserve"> su</w:t>
      </w:r>
      <w:r w:rsidR="008015DE" w:rsidRPr="0062686F">
        <w:rPr>
          <w:sz w:val="28"/>
          <w:szCs w:val="28"/>
          <w:lang w:val="en-US"/>
        </w:rPr>
        <w:t xml:space="preserve">ch reactions can reach </w:t>
      </w:r>
      <w:r w:rsidR="00F901BB" w:rsidRPr="0062686F">
        <w:rPr>
          <w:sz w:val="28"/>
          <w:szCs w:val="28"/>
          <w:lang w:val="en-US"/>
        </w:rPr>
        <w:t xml:space="preserve">the </w:t>
      </w:r>
      <w:r w:rsidR="008015DE" w:rsidRPr="0062686F">
        <w:rPr>
          <w:sz w:val="28"/>
          <w:szCs w:val="28"/>
          <w:lang w:val="en-US"/>
        </w:rPr>
        <w:t xml:space="preserve">values </w:t>
      </w:r>
      <w:r w:rsidR="006A48E9" w:rsidRPr="0062686F">
        <w:rPr>
          <w:sz w:val="28"/>
          <w:szCs w:val="28"/>
          <w:lang w:val="en-US"/>
        </w:rPr>
        <w:t>of 100</w:t>
      </w:r>
      <w:r w:rsidRPr="0062686F">
        <w:rPr>
          <w:sz w:val="28"/>
          <w:szCs w:val="28"/>
          <w:lang w:val="en-US"/>
        </w:rPr>
        <w:t xml:space="preserve"> mb at the energy of the beam of bombarding particles near the Coulomb barrier and up to 10 MeV/nucleon</w:t>
      </w:r>
      <w:r w:rsidR="00C21B52" w:rsidRPr="0062686F">
        <w:rPr>
          <w:sz w:val="28"/>
          <w:szCs w:val="28"/>
          <w:lang w:val="en-US"/>
        </w:rPr>
        <w:t xml:space="preserve"> [1]</w:t>
      </w:r>
      <w:r w:rsidRPr="0062686F">
        <w:rPr>
          <w:sz w:val="28"/>
          <w:szCs w:val="28"/>
          <w:lang w:val="en-US"/>
        </w:rPr>
        <w:t>.</w:t>
      </w:r>
      <w:bookmarkStart w:id="0" w:name="_GoBack"/>
      <w:bookmarkEnd w:id="0"/>
    </w:p>
    <w:p w:rsidR="00800401" w:rsidRPr="0062686F" w:rsidRDefault="00231276" w:rsidP="00412C19">
      <w:pPr>
        <w:shd w:val="clear" w:color="auto" w:fill="FFFFFF"/>
        <w:ind w:firstLine="340"/>
        <w:contextualSpacing/>
        <w:jc w:val="both"/>
        <w:rPr>
          <w:sz w:val="28"/>
          <w:szCs w:val="28"/>
          <w:lang w:val="en-US"/>
        </w:rPr>
      </w:pPr>
      <w:r w:rsidRPr="0062686F">
        <w:rPr>
          <w:sz w:val="28"/>
          <w:szCs w:val="28"/>
          <w:lang w:val="en-US"/>
        </w:rPr>
        <w:t xml:space="preserve">The excitation functions </w:t>
      </w:r>
      <w:r w:rsidR="00F901BB" w:rsidRPr="0062686F">
        <w:rPr>
          <w:sz w:val="28"/>
          <w:szCs w:val="28"/>
          <w:lang w:val="en-US"/>
        </w:rPr>
        <w:t>for</w:t>
      </w:r>
      <w:r w:rsidRPr="0062686F">
        <w:rPr>
          <w:sz w:val="28"/>
          <w:szCs w:val="28"/>
          <w:lang w:val="en-US"/>
        </w:rPr>
        <w:t xml:space="preserve"> the reactions</w:t>
      </w:r>
      <w:r w:rsidRPr="0062686F">
        <w:rPr>
          <w:lang w:val="en-US"/>
        </w:rPr>
        <w:t xml:space="preserve"> </w:t>
      </w:r>
      <w:r w:rsidRPr="0062686F">
        <w:rPr>
          <w:sz w:val="28"/>
          <w:szCs w:val="28"/>
          <w:vertAlign w:val="superscript"/>
          <w:lang w:val="en-US"/>
        </w:rPr>
        <w:t>45</w:t>
      </w:r>
      <w:r w:rsidRPr="0062686F">
        <w:rPr>
          <w:sz w:val="28"/>
          <w:szCs w:val="28"/>
          <w:lang w:val="en-US"/>
        </w:rPr>
        <w:t>Sc(</w:t>
      </w:r>
      <w:r w:rsidRPr="0062686F">
        <w:rPr>
          <w:sz w:val="28"/>
          <w:szCs w:val="28"/>
          <w:vertAlign w:val="superscript"/>
          <w:lang w:val="en-US"/>
        </w:rPr>
        <w:t>3</w:t>
      </w:r>
      <w:r w:rsidRPr="0062686F">
        <w:rPr>
          <w:sz w:val="28"/>
          <w:szCs w:val="28"/>
          <w:lang w:val="en-US"/>
        </w:rPr>
        <w:t>He,</w:t>
      </w:r>
      <w:r w:rsidR="002917DE" w:rsidRPr="0062686F">
        <w:rPr>
          <w:sz w:val="28"/>
          <w:szCs w:val="28"/>
          <w:lang w:val="en-US"/>
        </w:rPr>
        <w:t> </w:t>
      </w:r>
      <w:r w:rsidR="002917DE" w:rsidRPr="0062686F">
        <w:rPr>
          <w:i/>
          <w:sz w:val="28"/>
          <w:szCs w:val="28"/>
          <w:lang w:val="en-US"/>
        </w:rPr>
        <w:t>t</w:t>
      </w:r>
      <w:r w:rsidRPr="0062686F">
        <w:rPr>
          <w:sz w:val="28"/>
          <w:szCs w:val="28"/>
          <w:lang w:val="en-US"/>
        </w:rPr>
        <w:t>)</w:t>
      </w:r>
      <w:r w:rsidRPr="0062686F">
        <w:rPr>
          <w:sz w:val="28"/>
          <w:szCs w:val="28"/>
          <w:vertAlign w:val="superscript"/>
          <w:lang w:val="en-US"/>
        </w:rPr>
        <w:t>45</w:t>
      </w:r>
      <w:r w:rsidRPr="0062686F">
        <w:rPr>
          <w:sz w:val="28"/>
          <w:szCs w:val="28"/>
          <w:lang w:val="en-US"/>
        </w:rPr>
        <w:t xml:space="preserve">Ti, </w:t>
      </w:r>
      <w:r w:rsidRPr="0062686F">
        <w:rPr>
          <w:sz w:val="28"/>
          <w:szCs w:val="28"/>
          <w:vertAlign w:val="superscript"/>
          <w:lang w:val="en-US"/>
        </w:rPr>
        <w:t>194</w:t>
      </w:r>
      <w:r w:rsidRPr="0062686F">
        <w:rPr>
          <w:sz w:val="28"/>
          <w:szCs w:val="28"/>
          <w:lang w:val="en-US"/>
        </w:rPr>
        <w:t>Pt(</w:t>
      </w:r>
      <w:r w:rsidRPr="0062686F">
        <w:rPr>
          <w:sz w:val="28"/>
          <w:szCs w:val="28"/>
          <w:vertAlign w:val="superscript"/>
          <w:lang w:val="en-US"/>
        </w:rPr>
        <w:t>3</w:t>
      </w:r>
      <w:r w:rsidRPr="0062686F">
        <w:rPr>
          <w:sz w:val="28"/>
          <w:szCs w:val="28"/>
          <w:lang w:val="en-US"/>
        </w:rPr>
        <w:t>He</w:t>
      </w:r>
      <w:r w:rsidRPr="0062686F">
        <w:rPr>
          <w:i/>
          <w:sz w:val="28"/>
          <w:szCs w:val="28"/>
          <w:lang w:val="en-US"/>
        </w:rPr>
        <w:t>,</w:t>
      </w:r>
      <w:r w:rsidR="002917DE" w:rsidRPr="0062686F">
        <w:rPr>
          <w:i/>
          <w:sz w:val="28"/>
          <w:szCs w:val="28"/>
          <w:lang w:val="en-US"/>
        </w:rPr>
        <w:t> t</w:t>
      </w:r>
      <w:r w:rsidRPr="0062686F">
        <w:rPr>
          <w:sz w:val="28"/>
          <w:szCs w:val="28"/>
          <w:lang w:val="en-US"/>
        </w:rPr>
        <w:t>)</w:t>
      </w:r>
      <w:r w:rsidRPr="0062686F">
        <w:rPr>
          <w:sz w:val="28"/>
          <w:szCs w:val="28"/>
          <w:vertAlign w:val="superscript"/>
          <w:lang w:val="en-US"/>
        </w:rPr>
        <w:t>194</w:t>
      </w:r>
      <w:r w:rsidRPr="0062686F">
        <w:rPr>
          <w:sz w:val="28"/>
          <w:szCs w:val="28"/>
          <w:lang w:val="en-US"/>
        </w:rPr>
        <w:t>Au, an</w:t>
      </w:r>
      <w:r w:rsidR="00800401" w:rsidRPr="0062686F">
        <w:rPr>
          <w:sz w:val="28"/>
          <w:szCs w:val="28"/>
          <w:lang w:val="en-US"/>
        </w:rPr>
        <w:t xml:space="preserve">d </w:t>
      </w:r>
      <w:r w:rsidRPr="0062686F">
        <w:rPr>
          <w:sz w:val="28"/>
          <w:szCs w:val="28"/>
          <w:vertAlign w:val="superscript"/>
          <w:lang w:val="en-US"/>
        </w:rPr>
        <w:t>197</w:t>
      </w:r>
      <w:r w:rsidRPr="0062686F">
        <w:rPr>
          <w:sz w:val="28"/>
          <w:szCs w:val="28"/>
          <w:lang w:val="en-US"/>
        </w:rPr>
        <w:t>Au(</w:t>
      </w:r>
      <w:r w:rsidRPr="0062686F">
        <w:rPr>
          <w:sz w:val="28"/>
          <w:szCs w:val="28"/>
          <w:vertAlign w:val="superscript"/>
          <w:lang w:val="en-US"/>
        </w:rPr>
        <w:t>3</w:t>
      </w:r>
      <w:r w:rsidRPr="0062686F">
        <w:rPr>
          <w:sz w:val="28"/>
          <w:szCs w:val="28"/>
          <w:lang w:val="en-US"/>
        </w:rPr>
        <w:t>He,</w:t>
      </w:r>
      <w:r w:rsidR="002917DE" w:rsidRPr="0062686F">
        <w:rPr>
          <w:i/>
          <w:sz w:val="28"/>
          <w:szCs w:val="28"/>
          <w:lang w:val="en-US"/>
        </w:rPr>
        <w:t> t</w:t>
      </w:r>
      <w:r w:rsidRPr="0062686F">
        <w:rPr>
          <w:sz w:val="28"/>
          <w:szCs w:val="28"/>
          <w:lang w:val="en-US"/>
        </w:rPr>
        <w:t>)</w:t>
      </w:r>
      <w:r w:rsidRPr="0062686F">
        <w:rPr>
          <w:sz w:val="28"/>
          <w:szCs w:val="28"/>
          <w:vertAlign w:val="superscript"/>
          <w:lang w:val="en-US"/>
        </w:rPr>
        <w:t>197</w:t>
      </w:r>
      <w:r w:rsidRPr="0062686F">
        <w:rPr>
          <w:sz w:val="28"/>
          <w:szCs w:val="28"/>
          <w:lang w:val="en-US"/>
        </w:rPr>
        <w:t>Hg were measured in [1]. It was shown that charge</w:t>
      </w:r>
      <w:r w:rsidR="00785373" w:rsidRPr="0062686F">
        <w:rPr>
          <w:sz w:val="28"/>
          <w:szCs w:val="28"/>
          <w:lang w:val="en-US"/>
        </w:rPr>
        <w:t>-</w:t>
      </w:r>
      <w:r w:rsidRPr="0062686F">
        <w:rPr>
          <w:sz w:val="28"/>
          <w:szCs w:val="28"/>
          <w:lang w:val="en-US"/>
        </w:rPr>
        <w:t>exchange reactions belong to the class of peripheral reactions [2].</w:t>
      </w:r>
    </w:p>
    <w:p w:rsidR="006D1F20" w:rsidRPr="0062686F" w:rsidRDefault="00231276" w:rsidP="00412C19">
      <w:pPr>
        <w:shd w:val="clear" w:color="auto" w:fill="FFFFFF"/>
        <w:ind w:firstLine="340"/>
        <w:contextualSpacing/>
        <w:jc w:val="both"/>
        <w:rPr>
          <w:sz w:val="28"/>
          <w:szCs w:val="28"/>
          <w:lang w:val="en-US"/>
        </w:rPr>
      </w:pPr>
      <w:r w:rsidRPr="0062686F">
        <w:rPr>
          <w:sz w:val="28"/>
          <w:szCs w:val="28"/>
          <w:lang w:val="en-US"/>
        </w:rPr>
        <w:t>At the U-120M cyclotron of the Institute of Nuclear Physics in Řež</w:t>
      </w:r>
      <w:r w:rsidR="00785373" w:rsidRPr="0062686F">
        <w:rPr>
          <w:sz w:val="28"/>
          <w:szCs w:val="28"/>
          <w:lang w:val="en-US"/>
        </w:rPr>
        <w:t>, Czech Republic</w:t>
      </w:r>
      <w:r w:rsidRPr="0062686F">
        <w:rPr>
          <w:sz w:val="28"/>
          <w:szCs w:val="28"/>
          <w:lang w:val="en-US"/>
        </w:rPr>
        <w:t xml:space="preserve">, experiments were carried out to measure emission of deuterons and tritons at different angles in the reactions </w:t>
      </w:r>
      <w:r w:rsidRPr="0062686F">
        <w:rPr>
          <w:sz w:val="28"/>
          <w:szCs w:val="28"/>
          <w:vertAlign w:val="superscript"/>
          <w:lang w:val="en-US"/>
        </w:rPr>
        <w:t>197</w:t>
      </w:r>
      <w:r w:rsidRPr="0062686F">
        <w:rPr>
          <w:sz w:val="28"/>
          <w:szCs w:val="28"/>
          <w:lang w:val="en-US"/>
        </w:rPr>
        <w:t>Au(</w:t>
      </w:r>
      <w:r w:rsidRPr="0062686F">
        <w:rPr>
          <w:sz w:val="28"/>
          <w:szCs w:val="28"/>
          <w:vertAlign w:val="superscript"/>
          <w:lang w:val="en-US"/>
        </w:rPr>
        <w:t>3</w:t>
      </w:r>
      <w:r w:rsidR="00C21B52" w:rsidRPr="0062686F">
        <w:rPr>
          <w:sz w:val="28"/>
          <w:szCs w:val="28"/>
          <w:lang w:val="en-US"/>
        </w:rPr>
        <w:t>He,</w:t>
      </w:r>
      <w:r w:rsidR="002917DE" w:rsidRPr="0062686F">
        <w:rPr>
          <w:sz w:val="28"/>
          <w:szCs w:val="28"/>
          <w:lang w:val="en-US"/>
        </w:rPr>
        <w:t> </w:t>
      </w:r>
      <w:r w:rsidRPr="0062686F">
        <w:rPr>
          <w:i/>
          <w:sz w:val="28"/>
          <w:szCs w:val="28"/>
          <w:lang w:val="en-US"/>
        </w:rPr>
        <w:t>d</w:t>
      </w:r>
      <w:r w:rsidRPr="0062686F">
        <w:rPr>
          <w:sz w:val="28"/>
          <w:szCs w:val="28"/>
          <w:lang w:val="en-US"/>
        </w:rPr>
        <w:t>)</w:t>
      </w:r>
      <w:r w:rsidRPr="0062686F">
        <w:rPr>
          <w:sz w:val="28"/>
          <w:szCs w:val="28"/>
          <w:vertAlign w:val="superscript"/>
          <w:lang w:val="en-US"/>
        </w:rPr>
        <w:t>198</w:t>
      </w:r>
      <w:r w:rsidRPr="0062686F">
        <w:rPr>
          <w:sz w:val="28"/>
          <w:szCs w:val="28"/>
          <w:lang w:val="en-US"/>
        </w:rPr>
        <w:t xml:space="preserve">Hg and </w:t>
      </w:r>
      <w:r w:rsidRPr="0062686F">
        <w:rPr>
          <w:sz w:val="28"/>
          <w:szCs w:val="28"/>
          <w:vertAlign w:val="superscript"/>
          <w:lang w:val="en-US"/>
        </w:rPr>
        <w:t>197</w:t>
      </w:r>
      <w:r w:rsidRPr="0062686F">
        <w:rPr>
          <w:sz w:val="28"/>
          <w:szCs w:val="28"/>
          <w:lang w:val="en-US"/>
        </w:rPr>
        <w:t>Au(</w:t>
      </w:r>
      <w:r w:rsidRPr="0062686F">
        <w:rPr>
          <w:sz w:val="28"/>
          <w:szCs w:val="28"/>
          <w:vertAlign w:val="superscript"/>
          <w:lang w:val="en-US"/>
        </w:rPr>
        <w:t>3</w:t>
      </w:r>
      <w:r w:rsidR="002917DE" w:rsidRPr="0062686F">
        <w:rPr>
          <w:sz w:val="28"/>
          <w:szCs w:val="28"/>
          <w:lang w:val="en-US"/>
        </w:rPr>
        <w:t>He, </w:t>
      </w:r>
      <w:r w:rsidRPr="0062686F">
        <w:rPr>
          <w:i/>
          <w:sz w:val="28"/>
          <w:szCs w:val="28"/>
          <w:lang w:val="en-US"/>
        </w:rPr>
        <w:t>t</w:t>
      </w:r>
      <w:r w:rsidRPr="0062686F">
        <w:rPr>
          <w:sz w:val="28"/>
          <w:szCs w:val="28"/>
          <w:lang w:val="en-US"/>
        </w:rPr>
        <w:t>)</w:t>
      </w:r>
      <w:r w:rsidRPr="0062686F">
        <w:rPr>
          <w:sz w:val="28"/>
          <w:szCs w:val="28"/>
          <w:vertAlign w:val="superscript"/>
          <w:lang w:val="en-US"/>
        </w:rPr>
        <w:t>197</w:t>
      </w:r>
      <w:r w:rsidRPr="0062686F">
        <w:rPr>
          <w:sz w:val="28"/>
          <w:szCs w:val="28"/>
          <w:lang w:val="en-US"/>
        </w:rPr>
        <w:t>Hg. The measurements showed that the energy and angular distributions of deuterons and trit</w:t>
      </w:r>
      <w:r w:rsidR="002B292A">
        <w:rPr>
          <w:sz w:val="28"/>
          <w:szCs w:val="28"/>
          <w:lang w:val="en-US"/>
        </w:rPr>
        <w:t>ons</w:t>
      </w:r>
      <w:r w:rsidRPr="0062686F">
        <w:rPr>
          <w:sz w:val="28"/>
          <w:szCs w:val="28"/>
          <w:lang w:val="en-US"/>
        </w:rPr>
        <w:t xml:space="preserve"> are sensitive to the impact parameter of the </w:t>
      </w:r>
      <w:r w:rsidR="002B292A">
        <w:rPr>
          <w:sz w:val="28"/>
          <w:szCs w:val="28"/>
          <w:lang w:val="en-US"/>
        </w:rPr>
        <w:t>collid</w:t>
      </w:r>
      <w:r w:rsidRPr="0062686F">
        <w:rPr>
          <w:sz w:val="28"/>
          <w:szCs w:val="28"/>
          <w:lang w:val="en-US"/>
        </w:rPr>
        <w:t xml:space="preserve">ing nuclei and to the transferred angular momentum. The angular distributions of </w:t>
      </w:r>
      <w:r w:rsidR="00785373" w:rsidRPr="0062686F">
        <w:rPr>
          <w:sz w:val="28"/>
          <w:szCs w:val="28"/>
          <w:lang w:val="en-US"/>
        </w:rPr>
        <w:t>emitted</w:t>
      </w:r>
      <w:r w:rsidR="00936979" w:rsidRPr="0062686F">
        <w:rPr>
          <w:sz w:val="28"/>
          <w:szCs w:val="28"/>
          <w:lang w:val="en-US"/>
        </w:rPr>
        <w:t xml:space="preserve"> </w:t>
      </w:r>
      <w:r w:rsidRPr="0062686F">
        <w:rPr>
          <w:sz w:val="28"/>
          <w:szCs w:val="28"/>
          <w:lang w:val="en-US"/>
        </w:rPr>
        <w:t>deuterons</w:t>
      </w:r>
      <w:r w:rsidR="00785373" w:rsidRPr="0062686F">
        <w:rPr>
          <w:sz w:val="28"/>
          <w:szCs w:val="28"/>
          <w:lang w:val="en-US"/>
        </w:rPr>
        <w:t xml:space="preserve"> for</w:t>
      </w:r>
      <w:r w:rsidRPr="0062686F">
        <w:rPr>
          <w:sz w:val="28"/>
          <w:szCs w:val="28"/>
          <w:lang w:val="en-US"/>
        </w:rPr>
        <w:t xml:space="preserve"> </w:t>
      </w:r>
      <w:r w:rsidR="00785373" w:rsidRPr="0062686F">
        <w:rPr>
          <w:sz w:val="28"/>
          <w:szCs w:val="28"/>
          <w:lang w:val="en-US"/>
        </w:rPr>
        <w:t xml:space="preserve">the reaction </w:t>
      </w:r>
      <w:r w:rsidR="00785373" w:rsidRPr="0062686F">
        <w:rPr>
          <w:sz w:val="28"/>
          <w:szCs w:val="28"/>
          <w:vertAlign w:val="superscript"/>
          <w:lang w:val="en-US"/>
        </w:rPr>
        <w:t>197</w:t>
      </w:r>
      <w:r w:rsidR="00785373" w:rsidRPr="0062686F">
        <w:rPr>
          <w:sz w:val="28"/>
          <w:szCs w:val="28"/>
          <w:lang w:val="en-US"/>
        </w:rPr>
        <w:t>Au(</w:t>
      </w:r>
      <w:r w:rsidR="00785373" w:rsidRPr="0062686F">
        <w:rPr>
          <w:sz w:val="28"/>
          <w:szCs w:val="28"/>
          <w:vertAlign w:val="superscript"/>
          <w:lang w:val="en-US"/>
        </w:rPr>
        <w:t>3</w:t>
      </w:r>
      <w:r w:rsidR="00785373" w:rsidRPr="0062686F">
        <w:rPr>
          <w:sz w:val="28"/>
          <w:szCs w:val="28"/>
          <w:lang w:val="en-US"/>
        </w:rPr>
        <w:t>He, </w:t>
      </w:r>
      <w:r w:rsidR="00785373" w:rsidRPr="0062686F">
        <w:rPr>
          <w:i/>
          <w:sz w:val="28"/>
          <w:szCs w:val="28"/>
          <w:lang w:val="en-US"/>
        </w:rPr>
        <w:t>t</w:t>
      </w:r>
      <w:r w:rsidR="00785373" w:rsidRPr="0062686F">
        <w:rPr>
          <w:sz w:val="28"/>
          <w:szCs w:val="28"/>
          <w:lang w:val="en-US"/>
        </w:rPr>
        <w:t>)</w:t>
      </w:r>
      <w:r w:rsidR="00785373" w:rsidRPr="0062686F">
        <w:rPr>
          <w:sz w:val="28"/>
          <w:szCs w:val="28"/>
          <w:vertAlign w:val="superscript"/>
          <w:lang w:val="en-US"/>
        </w:rPr>
        <w:t>197</w:t>
      </w:r>
      <w:r w:rsidR="00785373" w:rsidRPr="0062686F">
        <w:rPr>
          <w:sz w:val="28"/>
          <w:szCs w:val="28"/>
          <w:lang w:val="en-US"/>
        </w:rPr>
        <w:t xml:space="preserve">Hg </w:t>
      </w:r>
      <w:r w:rsidRPr="0062686F">
        <w:rPr>
          <w:sz w:val="28"/>
          <w:szCs w:val="28"/>
          <w:lang w:val="en-US"/>
        </w:rPr>
        <w:t xml:space="preserve">have a maximum </w:t>
      </w:r>
      <w:r w:rsidR="00785373" w:rsidRPr="0062686F">
        <w:rPr>
          <w:sz w:val="28"/>
          <w:szCs w:val="28"/>
          <w:lang w:val="en-US"/>
        </w:rPr>
        <w:t xml:space="preserve">at the grazing angle </w:t>
      </w:r>
      <w:r w:rsidR="00785373" w:rsidRPr="0062686F">
        <w:rPr>
          <w:sz w:val="28"/>
          <w:szCs w:val="28"/>
          <w:lang w:val="en-US"/>
        </w:rPr>
        <w:t>for</w:t>
      </w:r>
      <w:r w:rsidR="00785373" w:rsidRPr="0062686F">
        <w:rPr>
          <w:sz w:val="28"/>
          <w:szCs w:val="28"/>
          <w:lang w:val="en-US"/>
        </w:rPr>
        <w:t xml:space="preserve"> this reaction (68° in </w:t>
      </w:r>
      <w:r w:rsidR="00785373" w:rsidRPr="0062686F">
        <w:rPr>
          <w:sz w:val="28"/>
          <w:szCs w:val="28"/>
          <w:lang w:val="en-US"/>
        </w:rPr>
        <w:t xml:space="preserve">the </w:t>
      </w:r>
      <w:r w:rsidR="00785373" w:rsidRPr="0062686F">
        <w:rPr>
          <w:sz w:val="28"/>
          <w:szCs w:val="28"/>
          <w:lang w:val="en-US"/>
        </w:rPr>
        <w:t>lab</w:t>
      </w:r>
      <w:r w:rsidR="00785373" w:rsidRPr="0062686F">
        <w:rPr>
          <w:sz w:val="28"/>
          <w:szCs w:val="28"/>
          <w:lang w:val="en-US"/>
        </w:rPr>
        <w:t>oratory system</w:t>
      </w:r>
      <w:r w:rsidR="00785373" w:rsidRPr="0062686F">
        <w:rPr>
          <w:sz w:val="28"/>
          <w:szCs w:val="28"/>
          <w:lang w:val="en-US"/>
        </w:rPr>
        <w:t>)</w:t>
      </w:r>
      <w:r w:rsidRPr="0062686F">
        <w:rPr>
          <w:sz w:val="28"/>
          <w:szCs w:val="28"/>
          <w:lang w:val="en-US"/>
        </w:rPr>
        <w:t>.</w:t>
      </w:r>
    </w:p>
    <w:p w:rsidR="002A38D1" w:rsidRPr="0062686F" w:rsidRDefault="002A38D1" w:rsidP="00412C19">
      <w:pPr>
        <w:shd w:val="clear" w:color="auto" w:fill="FFFFFF"/>
        <w:ind w:firstLine="170"/>
        <w:contextualSpacing/>
        <w:jc w:val="both"/>
        <w:rPr>
          <w:sz w:val="28"/>
          <w:szCs w:val="28"/>
          <w:lang w:val="en-US"/>
        </w:rPr>
      </w:pPr>
    </w:p>
    <w:p w:rsidR="00A7428F" w:rsidRPr="0062686F" w:rsidRDefault="00C97EB6" w:rsidP="00412C19">
      <w:pPr>
        <w:shd w:val="clear" w:color="auto" w:fill="FFFFFF"/>
        <w:ind w:firstLine="340"/>
        <w:contextualSpacing/>
        <w:jc w:val="both"/>
        <w:rPr>
          <w:bCs/>
          <w:sz w:val="24"/>
          <w:szCs w:val="24"/>
          <w:lang w:val="en-US"/>
        </w:rPr>
      </w:pPr>
      <w:r w:rsidRPr="0062686F">
        <w:rPr>
          <w:sz w:val="24"/>
          <w:szCs w:val="24"/>
          <w:lang w:val="en-US"/>
        </w:rPr>
        <w:t xml:space="preserve">1. </w:t>
      </w:r>
      <w:r w:rsidRPr="0062686F">
        <w:rPr>
          <w:bCs/>
          <w:sz w:val="24"/>
          <w:szCs w:val="24"/>
          <w:lang w:val="en-US"/>
        </w:rPr>
        <w:t>N. K. Skobelev, Yu. E. Penionzhkevich, V. Burja</w:t>
      </w:r>
      <w:r w:rsidR="00B26688" w:rsidRPr="0062686F">
        <w:rPr>
          <w:bCs/>
          <w:sz w:val="24"/>
          <w:szCs w:val="24"/>
          <w:lang w:val="en-US"/>
        </w:rPr>
        <w:t>n</w:t>
      </w:r>
      <w:r w:rsidRPr="0062686F">
        <w:rPr>
          <w:bCs/>
          <w:sz w:val="24"/>
          <w:szCs w:val="24"/>
          <w:lang w:val="en-US"/>
        </w:rPr>
        <w:t>, and J. Mrázek</w:t>
      </w:r>
      <w:r w:rsidR="00A7428F" w:rsidRPr="0062686F">
        <w:rPr>
          <w:bCs/>
          <w:sz w:val="24"/>
          <w:szCs w:val="24"/>
          <w:lang w:val="en-US"/>
        </w:rPr>
        <w:t>,</w:t>
      </w:r>
      <w:r w:rsidR="00A7428F" w:rsidRPr="0062686F">
        <w:rPr>
          <w:rFonts w:eastAsia="Newton-Italic"/>
          <w:i/>
          <w:iCs/>
          <w:sz w:val="24"/>
          <w:szCs w:val="24"/>
          <w:lang w:val="en-US"/>
        </w:rPr>
        <w:t xml:space="preserve"> </w:t>
      </w:r>
      <w:r w:rsidR="00A7428F" w:rsidRPr="0062686F">
        <w:rPr>
          <w:rFonts w:eastAsia="Newton-Italic"/>
          <w:iCs/>
          <w:sz w:val="24"/>
          <w:szCs w:val="24"/>
          <w:lang w:val="en-US"/>
        </w:rPr>
        <w:t>Bulletin of the Russian Academy of Sciences: Physics</w:t>
      </w:r>
      <w:r w:rsidR="000973B2" w:rsidRPr="0062686F">
        <w:rPr>
          <w:rFonts w:eastAsia="Newton-Italic"/>
          <w:iCs/>
          <w:sz w:val="24"/>
          <w:szCs w:val="24"/>
          <w:lang w:val="en-US"/>
        </w:rPr>
        <w:t xml:space="preserve"> 84, </w:t>
      </w:r>
      <w:r w:rsidR="00A7428F" w:rsidRPr="0062686F">
        <w:rPr>
          <w:rFonts w:eastAsia="Newton-Italic"/>
          <w:iCs/>
          <w:sz w:val="24"/>
          <w:szCs w:val="24"/>
          <w:lang w:val="en-US"/>
        </w:rPr>
        <w:t>425</w:t>
      </w:r>
      <w:r w:rsidR="00785373" w:rsidRPr="0062686F">
        <w:rPr>
          <w:rFonts w:eastAsia="Newton-Italic"/>
          <w:iCs/>
          <w:sz w:val="24"/>
          <w:szCs w:val="24"/>
          <w:lang w:val="en-US"/>
        </w:rPr>
        <w:t xml:space="preserve"> </w:t>
      </w:r>
      <w:r w:rsidR="000973B2" w:rsidRPr="0062686F">
        <w:rPr>
          <w:rFonts w:eastAsia="Newton-Italic"/>
          <w:iCs/>
          <w:sz w:val="24"/>
          <w:szCs w:val="24"/>
          <w:lang w:val="en-US"/>
        </w:rPr>
        <w:t>(2020).</w:t>
      </w:r>
    </w:p>
    <w:p w:rsidR="002A38D1" w:rsidRPr="0062686F" w:rsidRDefault="00A7428F" w:rsidP="00412C19">
      <w:pPr>
        <w:autoSpaceDE w:val="0"/>
        <w:autoSpaceDN w:val="0"/>
        <w:adjustRightInd w:val="0"/>
        <w:ind w:firstLine="340"/>
        <w:jc w:val="both"/>
        <w:rPr>
          <w:rFonts w:eastAsia="Newton-Italic"/>
          <w:iCs/>
          <w:sz w:val="24"/>
          <w:szCs w:val="24"/>
          <w:lang w:val="en-US"/>
        </w:rPr>
      </w:pPr>
      <w:r w:rsidRPr="0062686F">
        <w:rPr>
          <w:sz w:val="24"/>
          <w:szCs w:val="24"/>
          <w:lang w:val="en-US"/>
        </w:rPr>
        <w:t>2</w:t>
      </w:r>
      <w:r w:rsidR="005F1626" w:rsidRPr="0062686F">
        <w:rPr>
          <w:sz w:val="24"/>
          <w:szCs w:val="24"/>
          <w:lang w:val="en-US"/>
        </w:rPr>
        <w:t xml:space="preserve">. </w:t>
      </w:r>
      <w:r w:rsidR="005F1626" w:rsidRPr="0062686F">
        <w:rPr>
          <w:bCs/>
          <w:sz w:val="24"/>
          <w:szCs w:val="24"/>
          <w:lang w:val="en-US"/>
        </w:rPr>
        <w:t>N. K. Skobelev, Yu. E. Penionzhkevich</w:t>
      </w:r>
      <w:r w:rsidR="00C97EB6" w:rsidRPr="0062686F">
        <w:rPr>
          <w:bCs/>
          <w:sz w:val="24"/>
          <w:szCs w:val="24"/>
          <w:lang w:val="en-US"/>
        </w:rPr>
        <w:t>,</w:t>
      </w:r>
      <w:r w:rsidR="005F1626" w:rsidRPr="0062686F">
        <w:rPr>
          <w:bCs/>
          <w:sz w:val="24"/>
          <w:szCs w:val="24"/>
          <w:lang w:val="en-US"/>
        </w:rPr>
        <w:t xml:space="preserve"> I. Siváček, T. Issatayev </w:t>
      </w:r>
      <w:r w:rsidR="005F1626" w:rsidRPr="0062686F">
        <w:rPr>
          <w:bCs/>
          <w:i/>
          <w:iCs/>
          <w:sz w:val="24"/>
          <w:szCs w:val="24"/>
          <w:lang w:val="en-US"/>
        </w:rPr>
        <w:t>et al</w:t>
      </w:r>
      <w:r w:rsidR="005F1626" w:rsidRPr="0062686F">
        <w:rPr>
          <w:bCs/>
          <w:iCs/>
          <w:sz w:val="24"/>
          <w:szCs w:val="24"/>
          <w:lang w:val="en-US"/>
        </w:rPr>
        <w:t>.</w:t>
      </w:r>
      <w:r w:rsidR="0012120A" w:rsidRPr="0062686F">
        <w:rPr>
          <w:bCs/>
          <w:iCs/>
          <w:sz w:val="24"/>
          <w:szCs w:val="24"/>
          <w:lang w:val="en-US"/>
        </w:rPr>
        <w:t>,</w:t>
      </w:r>
      <w:r w:rsidR="005F1626" w:rsidRPr="0062686F">
        <w:rPr>
          <w:rFonts w:eastAsia="Newton-Italic"/>
          <w:i/>
          <w:iCs/>
          <w:sz w:val="24"/>
          <w:szCs w:val="24"/>
          <w:lang w:val="en-US"/>
        </w:rPr>
        <w:t xml:space="preserve"> </w:t>
      </w:r>
      <w:r w:rsidR="005F1626" w:rsidRPr="0062686F">
        <w:rPr>
          <w:rFonts w:eastAsia="Newton-Italic"/>
          <w:iCs/>
          <w:sz w:val="24"/>
          <w:szCs w:val="24"/>
          <w:lang w:val="en-US"/>
        </w:rPr>
        <w:t>Physics of Particles and Nuclei 53, 382</w:t>
      </w:r>
      <w:r w:rsidR="00C97EB6" w:rsidRPr="0062686F">
        <w:rPr>
          <w:rFonts w:eastAsia="Newton-Italic"/>
          <w:iCs/>
          <w:sz w:val="24"/>
          <w:szCs w:val="24"/>
          <w:lang w:val="en-US"/>
        </w:rPr>
        <w:t xml:space="preserve"> </w:t>
      </w:r>
      <w:r w:rsidR="005F1626" w:rsidRPr="0062686F">
        <w:rPr>
          <w:rFonts w:eastAsia="Newton-Italic"/>
          <w:iCs/>
          <w:sz w:val="24"/>
          <w:szCs w:val="24"/>
          <w:lang w:val="en-US"/>
        </w:rPr>
        <w:t>(2022)</w:t>
      </w:r>
      <w:r w:rsidR="004F0127" w:rsidRPr="0062686F">
        <w:rPr>
          <w:rFonts w:eastAsia="Newton-Italic"/>
          <w:iCs/>
          <w:sz w:val="24"/>
          <w:szCs w:val="24"/>
          <w:lang w:val="en-US"/>
        </w:rPr>
        <w:t>.</w:t>
      </w:r>
    </w:p>
    <w:sectPr w:rsidR="002A38D1" w:rsidRPr="0062686F" w:rsidSect="002B76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33" w:rsidRDefault="009F4133" w:rsidP="004F0127">
      <w:r>
        <w:separator/>
      </w:r>
    </w:p>
  </w:endnote>
  <w:endnote w:type="continuationSeparator" w:id="0">
    <w:p w:rsidR="009F4133" w:rsidRDefault="009F4133" w:rsidP="004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Itali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33" w:rsidRDefault="009F4133" w:rsidP="004F0127">
      <w:r>
        <w:separator/>
      </w:r>
    </w:p>
  </w:footnote>
  <w:footnote w:type="continuationSeparator" w:id="0">
    <w:p w:rsidR="009F4133" w:rsidRDefault="009F4133" w:rsidP="004F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5E3D"/>
    <w:multiLevelType w:val="multilevel"/>
    <w:tmpl w:val="44E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276"/>
    <w:rsid w:val="000973B2"/>
    <w:rsid w:val="000A77DF"/>
    <w:rsid w:val="000C1CDA"/>
    <w:rsid w:val="001017F6"/>
    <w:rsid w:val="0012120A"/>
    <w:rsid w:val="001B03E5"/>
    <w:rsid w:val="001B56BB"/>
    <w:rsid w:val="00231276"/>
    <w:rsid w:val="002917DE"/>
    <w:rsid w:val="002A38D1"/>
    <w:rsid w:val="002B292A"/>
    <w:rsid w:val="002B76B7"/>
    <w:rsid w:val="00307271"/>
    <w:rsid w:val="003C1A97"/>
    <w:rsid w:val="00412C19"/>
    <w:rsid w:val="004900E6"/>
    <w:rsid w:val="004E447B"/>
    <w:rsid w:val="004F0127"/>
    <w:rsid w:val="005060F2"/>
    <w:rsid w:val="00595933"/>
    <w:rsid w:val="005C5638"/>
    <w:rsid w:val="005F1626"/>
    <w:rsid w:val="0062686F"/>
    <w:rsid w:val="006A48E9"/>
    <w:rsid w:val="006D1F20"/>
    <w:rsid w:val="00731B08"/>
    <w:rsid w:val="00764D9F"/>
    <w:rsid w:val="00785373"/>
    <w:rsid w:val="007E14F4"/>
    <w:rsid w:val="00800401"/>
    <w:rsid w:val="008015DE"/>
    <w:rsid w:val="00927BF0"/>
    <w:rsid w:val="00936979"/>
    <w:rsid w:val="009F4133"/>
    <w:rsid w:val="00A7428F"/>
    <w:rsid w:val="00A92A5D"/>
    <w:rsid w:val="00B21AEF"/>
    <w:rsid w:val="00B26688"/>
    <w:rsid w:val="00C21B52"/>
    <w:rsid w:val="00C97EB6"/>
    <w:rsid w:val="00DE6663"/>
    <w:rsid w:val="00E920E6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EDFD-9966-4AA5-8E61-BD5A55D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E6"/>
  </w:style>
  <w:style w:type="paragraph" w:styleId="Heading1">
    <w:name w:val="heading 1"/>
    <w:basedOn w:val="Normal"/>
    <w:next w:val="Normal"/>
    <w:link w:val="Heading1Char"/>
    <w:qFormat/>
    <w:rsid w:val="004900E6"/>
    <w:pPr>
      <w:widowControl w:val="0"/>
      <w:ind w:left="136" w:right="6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663"/>
  </w:style>
  <w:style w:type="paragraph" w:styleId="Title">
    <w:name w:val="Title"/>
    <w:basedOn w:val="Normal"/>
    <w:link w:val="TitleChar"/>
    <w:qFormat/>
    <w:rsid w:val="004900E6"/>
    <w:pPr>
      <w:widowControl w:val="0"/>
      <w:ind w:left="68" w:right="-105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E6663"/>
    <w:rPr>
      <w:b/>
      <w:sz w:val="24"/>
    </w:rPr>
  </w:style>
  <w:style w:type="paragraph" w:styleId="NoSpacing">
    <w:name w:val="No Spacing"/>
    <w:uiPriority w:val="1"/>
    <w:qFormat/>
    <w:rsid w:val="004900E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00E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34"/>
    <w:rsid w:val="00DE66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900E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900E6"/>
    <w:rPr>
      <w:rFonts w:asciiTheme="majorHAnsi" w:eastAsiaTheme="majorEastAsia" w:hAnsiTheme="majorHAnsi" w:cstheme="majorBidi"/>
      <w:sz w:val="24"/>
      <w:szCs w:val="24"/>
    </w:rPr>
  </w:style>
  <w:style w:type="paragraph" w:customStyle="1" w:styleId="2">
    <w:name w:val="Абзац списка2"/>
    <w:basedOn w:val="Normal"/>
    <w:uiPriority w:val="34"/>
    <w:qFormat/>
    <w:rsid w:val="00490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tfg0">
    <w:name w:val="mtfg0"/>
    <w:basedOn w:val="DefaultParagraphFont"/>
    <w:rsid w:val="008015DE"/>
  </w:style>
  <w:style w:type="paragraph" w:styleId="EndnoteText">
    <w:name w:val="endnote text"/>
    <w:basedOn w:val="Normal"/>
    <w:link w:val="EndnoteTextChar"/>
    <w:uiPriority w:val="99"/>
    <w:semiHidden/>
    <w:unhideWhenUsed/>
    <w:rsid w:val="004F01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127"/>
  </w:style>
  <w:style w:type="character" w:styleId="EndnoteReference">
    <w:name w:val="endnote reference"/>
    <w:basedOn w:val="DefaultParagraphFont"/>
    <w:uiPriority w:val="99"/>
    <w:semiHidden/>
    <w:unhideWhenUsed/>
    <w:rsid w:val="004F0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8B37-EAC3-4AFC-8A49-95A68E57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Mike</cp:lastModifiedBy>
  <cp:revision>7</cp:revision>
  <cp:lastPrinted>2022-03-31T05:46:00Z</cp:lastPrinted>
  <dcterms:created xsi:type="dcterms:W3CDTF">2022-03-31T07:54:00Z</dcterms:created>
  <dcterms:modified xsi:type="dcterms:W3CDTF">2022-03-31T08:36:00Z</dcterms:modified>
</cp:coreProperties>
</file>