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jc w:val="center"/>
        <w:rPr>
          <w:b/>
          <w:b/>
          <w:bCs/>
          <w:sz w:val="32"/>
          <w:szCs w:val="32"/>
          <w:lang w:val="en-US"/>
        </w:rPr>
      </w:pPr>
      <w:r>
        <w:rPr>
          <w:b/>
          <w:bCs/>
          <w:sz w:val="32"/>
          <w:szCs w:val="32"/>
          <w:lang w:val="en-US"/>
        </w:rPr>
        <w:t xml:space="preserve">Precision measurement of </w:t>
      </w:r>
      <w:r>
        <w:rPr>
          <w:b/>
          <w:bCs/>
          <w:sz w:val="32"/>
          <w:szCs w:val="32"/>
          <w:vertAlign w:val="superscript"/>
          <w:lang w:val="en-US"/>
        </w:rPr>
        <w:t>144</w:t>
      </w:r>
      <w:r>
        <w:rPr>
          <w:b/>
          <w:bCs/>
          <w:sz w:val="32"/>
          <w:szCs w:val="32"/>
          <w:lang w:val="en-US"/>
        </w:rPr>
        <w:t xml:space="preserve">Ce – </w:t>
      </w:r>
      <w:r>
        <w:rPr>
          <w:b/>
          <w:bCs/>
          <w:sz w:val="32"/>
          <w:szCs w:val="32"/>
          <w:vertAlign w:val="superscript"/>
          <w:lang w:val="en-US"/>
        </w:rPr>
        <w:t>144</w:t>
      </w:r>
      <w:r>
        <w:rPr>
          <w:b/>
          <w:bCs/>
          <w:sz w:val="32"/>
          <w:szCs w:val="32"/>
          <w:lang w:val="en-US"/>
        </w:rPr>
        <w:t>Pr beta-spectrum</w:t>
      </w:r>
    </w:p>
    <w:p>
      <w:pPr>
        <w:pStyle w:val="Normal"/>
        <w:widowControl w:val="false"/>
        <w:jc w:val="center"/>
        <w:rPr>
          <w:lang w:val="en-US"/>
        </w:rPr>
      </w:pPr>
      <w:r>
        <w:rPr>
          <w:lang w:val="en-US"/>
        </w:rPr>
      </w:r>
    </w:p>
    <w:p>
      <w:pPr>
        <w:pStyle w:val="Normal"/>
        <w:widowControl w:val="false"/>
        <w:jc w:val="center"/>
        <w:rPr>
          <w:sz w:val="28"/>
          <w:szCs w:val="28"/>
          <w:lang w:val="en-US"/>
        </w:rPr>
      </w:pPr>
      <w:r>
        <w:rPr>
          <w:sz w:val="28"/>
          <w:szCs w:val="28"/>
          <w:lang w:val="en-US"/>
        </w:rPr>
        <w:t>I.E. Alexeev</w:t>
      </w:r>
      <w:r>
        <w:rPr>
          <w:sz w:val="28"/>
          <w:szCs w:val="28"/>
          <w:vertAlign w:val="superscript"/>
          <w:lang w:val="en-US"/>
        </w:rPr>
        <w:t>1</w:t>
      </w:r>
      <w:r>
        <w:rPr>
          <w:sz w:val="28"/>
          <w:szCs w:val="28"/>
          <w:lang w:val="en-US"/>
        </w:rPr>
        <w:t>, S.V. Bakhlanov</w:t>
      </w:r>
      <w:r>
        <w:rPr>
          <w:sz w:val="28"/>
          <w:szCs w:val="28"/>
          <w:vertAlign w:val="superscript"/>
          <w:lang w:val="en-US"/>
        </w:rPr>
        <w:t>2</w:t>
      </w:r>
      <w:r>
        <w:rPr>
          <w:sz w:val="28"/>
          <w:szCs w:val="28"/>
          <w:lang w:val="en-US"/>
        </w:rPr>
        <w:t>, A.V. Debin</w:t>
      </w:r>
      <w:r>
        <w:rPr>
          <w:sz w:val="28"/>
          <w:szCs w:val="28"/>
          <w:vertAlign w:val="superscript"/>
          <w:lang w:val="en-US"/>
        </w:rPr>
        <w:t>2</w:t>
      </w:r>
      <w:r>
        <w:rPr>
          <w:sz w:val="28"/>
          <w:szCs w:val="28"/>
          <w:lang w:val="en-US"/>
        </w:rPr>
        <w:t>, I.S. Drachnev</w:t>
      </w:r>
      <w:r>
        <w:rPr>
          <w:sz w:val="28"/>
          <w:szCs w:val="28"/>
          <w:vertAlign w:val="superscript"/>
          <w:lang w:val="en-US"/>
        </w:rPr>
        <w:t>2</w:t>
      </w:r>
      <w:r>
        <w:rPr>
          <w:sz w:val="28"/>
          <w:szCs w:val="28"/>
          <w:lang w:val="en-US"/>
        </w:rPr>
        <w:t>, I.M. Kotina</w:t>
      </w:r>
      <w:r>
        <w:rPr>
          <w:sz w:val="28"/>
          <w:szCs w:val="28"/>
          <w:vertAlign w:val="superscript"/>
          <w:lang w:val="en-US"/>
        </w:rPr>
        <w:t>2</w:t>
      </w:r>
      <w:r>
        <w:rPr>
          <w:sz w:val="28"/>
          <w:szCs w:val="28"/>
          <w:lang w:val="en-US"/>
        </w:rPr>
        <w:t>,</w:t>
      </w:r>
    </w:p>
    <w:p>
      <w:pPr>
        <w:pStyle w:val="Normal"/>
        <w:widowControl w:val="false"/>
        <w:jc w:val="center"/>
        <w:rPr>
          <w:sz w:val="28"/>
          <w:szCs w:val="28"/>
          <w:lang w:val="en-US"/>
        </w:rPr>
      </w:pPr>
      <w:r>
        <w:rPr>
          <w:sz w:val="28"/>
          <w:szCs w:val="28"/>
          <w:lang w:val="en-US"/>
        </w:rPr>
        <w:t>V.N. Muratova</w:t>
      </w:r>
      <w:r>
        <w:rPr>
          <w:sz w:val="28"/>
          <w:szCs w:val="28"/>
          <w:vertAlign w:val="superscript"/>
          <w:lang w:val="en-US"/>
        </w:rPr>
        <w:t>2</w:t>
      </w:r>
      <w:r>
        <w:rPr>
          <w:sz w:val="28"/>
          <w:szCs w:val="28"/>
          <w:lang w:val="en-US"/>
        </w:rPr>
        <w:t>, N.V. Niyazova</w:t>
      </w:r>
      <w:r>
        <w:rPr>
          <w:sz w:val="28"/>
          <w:szCs w:val="28"/>
          <w:vertAlign w:val="superscript"/>
          <w:lang w:val="en-US"/>
        </w:rPr>
        <w:t>2</w:t>
      </w:r>
      <w:r>
        <w:rPr>
          <w:sz w:val="28"/>
          <w:szCs w:val="28"/>
          <w:lang w:val="en-US"/>
        </w:rPr>
        <w:t>, M.V. Trushin</w:t>
      </w:r>
      <w:r>
        <w:rPr>
          <w:sz w:val="28"/>
          <w:szCs w:val="28"/>
          <w:vertAlign w:val="superscript"/>
          <w:lang w:val="en-US"/>
        </w:rPr>
        <w:t>2</w:t>
      </w:r>
      <w:r>
        <w:rPr>
          <w:sz w:val="28"/>
          <w:szCs w:val="28"/>
          <w:lang w:val="en-US"/>
        </w:rPr>
        <w:t xml:space="preserve"> and E.A. Chmel’ </w:t>
      </w:r>
      <w:r>
        <w:rPr>
          <w:sz w:val="28"/>
          <w:szCs w:val="28"/>
          <w:vertAlign w:val="superscript"/>
          <w:lang w:val="en-US"/>
        </w:rPr>
        <w:t>2</w:t>
      </w:r>
    </w:p>
    <w:p>
      <w:pPr>
        <w:pStyle w:val="Normal"/>
        <w:widowControl w:val="false"/>
        <w:jc w:val="center"/>
        <w:rPr>
          <w:vertAlign w:val="superscript"/>
          <w:lang w:val="en-US"/>
        </w:rPr>
      </w:pPr>
      <w:r>
        <w:rPr>
          <w:vertAlign w:val="superscript"/>
          <w:lang w:val="en-US"/>
        </w:rPr>
      </w:r>
    </w:p>
    <w:p>
      <w:pPr>
        <w:pStyle w:val="Normal"/>
        <w:widowControl w:val="false"/>
        <w:jc w:val="center"/>
        <w:rPr>
          <w:i/>
          <w:i/>
          <w:iCs/>
          <w:lang w:val="en-US"/>
        </w:rPr>
      </w:pPr>
      <w:r>
        <w:rPr>
          <w:i/>
          <w:iCs/>
          <w:vertAlign w:val="superscript"/>
          <w:lang w:val="en-US"/>
        </w:rPr>
        <w:t>1</w:t>
      </w:r>
      <w:r>
        <w:rPr>
          <w:i/>
          <w:iCs/>
          <w:lang w:val="en-US"/>
        </w:rPr>
        <w:t>Khlopin Radium Institute, St. Petersburg, Russia</w:t>
      </w:r>
    </w:p>
    <w:p>
      <w:pPr>
        <w:pStyle w:val="Normal"/>
        <w:widowControl w:val="false"/>
        <w:jc w:val="center"/>
        <w:rPr>
          <w:i/>
          <w:i/>
          <w:iCs/>
          <w:lang w:val="en-US"/>
        </w:rPr>
      </w:pPr>
      <w:r>
        <w:rPr>
          <w:i/>
          <w:iCs/>
          <w:vertAlign w:val="superscript"/>
          <w:lang w:val="en-US"/>
        </w:rPr>
        <w:t>2</w:t>
      </w:r>
      <w:r>
        <w:rPr>
          <w:i/>
          <w:lang w:val="en-US"/>
        </w:rPr>
        <w:t xml:space="preserve"> </w:t>
      </w:r>
      <w:r>
        <w:rPr>
          <w:i/>
          <w:iCs/>
          <w:lang w:val="en-US"/>
        </w:rPr>
        <w:t xml:space="preserve">Petersburg Nuclear Physics Institute, NRC “Kurchatov Institute”, Russia, Gatchina </w:t>
      </w:r>
    </w:p>
    <w:p>
      <w:pPr>
        <w:pStyle w:val="Normal"/>
        <w:widowControl w:val="false"/>
        <w:tabs>
          <w:tab w:val="clear" w:pos="708"/>
          <w:tab w:val="center" w:pos="4536" w:leader="none"/>
          <w:tab w:val="left" w:pos="6535" w:leader="none"/>
        </w:tabs>
        <w:rPr>
          <w:lang w:val="en-US"/>
        </w:rPr>
      </w:pPr>
      <w:r>
        <w:rPr>
          <w:lang w:val="en-US"/>
        </w:rPr>
        <w:tab/>
        <w:t>E-mail: drachnev_is@pnpi.nrcki.ru</w:t>
        <w:tab/>
      </w:r>
    </w:p>
    <w:p>
      <w:pPr>
        <w:pStyle w:val="Normal"/>
        <w:widowControl w:val="false"/>
        <w:jc w:val="center"/>
        <w:rPr>
          <w:lang w:val="en-US"/>
        </w:rPr>
      </w:pPr>
      <w:r>
        <w:rPr>
          <w:lang w:val="en-US"/>
        </w:rPr>
      </w:r>
    </w:p>
    <w:p>
      <w:pPr>
        <w:pStyle w:val="Normal"/>
        <w:widowControl w:val="false"/>
        <w:ind w:firstLine="340"/>
        <w:jc w:val="both"/>
        <w:rPr>
          <w:sz w:val="28"/>
          <w:szCs w:val="28"/>
          <w:lang w:val="en-US"/>
        </w:rPr>
      </w:pPr>
      <w:r>
        <w:rPr>
          <w:sz w:val="28"/>
          <w:szCs w:val="28"/>
          <w:lang w:val="en-US"/>
        </w:rPr>
        <w:t xml:space="preserve">Beta-decay is a specific decay process that undergoes a reaction with thee-particle product composition that results in continuous spectral shape of electrons or positrons. The shape of the spectrum was described already in 1934 by E. Fermi [1], but such description appeared to be valid only for allowed transitions (ΔI = 0,1 Δπ = 1). Involvement of nuclear exchange in other types of transitions complicates such decay description and often makes it necessary to perform experimental evaluation. </w:t>
      </w:r>
    </w:p>
    <w:p>
      <w:pPr>
        <w:pStyle w:val="Normal"/>
        <w:widowControl w:val="false"/>
        <w:ind w:firstLine="340"/>
        <w:jc w:val="both"/>
        <w:rPr>
          <w:color w:val="FF0000"/>
          <w:sz w:val="28"/>
          <w:szCs w:val="28"/>
          <w:lang w:val="en-US"/>
        </w:rPr>
      </w:pPr>
      <w:r>
        <w:rPr>
          <w:sz w:val="28"/>
          <w:szCs w:val="28"/>
          <w:lang w:val="en-US"/>
        </w:rPr>
        <w:t xml:space="preserve">Precision beta-spectra measurement always had a great importance in some fundamental physics problems including neutrino physics, </w:t>
      </w:r>
      <w:r>
        <w:rPr>
          <w:sz w:val="28"/>
          <w:szCs w:val="28"/>
          <w:lang w:val="en-US"/>
        </w:rPr>
        <w:t>e.g. a</w:t>
      </w:r>
      <w:r>
        <w:rPr>
          <w:sz w:val="28"/>
          <w:szCs w:val="28"/>
          <w:vertAlign w:val="superscript"/>
          <w:lang w:val="en-US"/>
        </w:rPr>
        <w:t xml:space="preserve"> 144</w:t>
      </w:r>
      <w:r>
        <w:rPr>
          <w:position w:val="0"/>
          <w:sz w:val="28"/>
          <w:sz w:val="28"/>
          <w:szCs w:val="28"/>
          <w:vertAlign w:val="baseline"/>
          <w:lang w:val="en-US"/>
        </w:rPr>
        <w:t>Ce –</w:t>
      </w:r>
      <w:r>
        <w:rPr>
          <w:sz w:val="28"/>
          <w:szCs w:val="28"/>
          <w:vertAlign w:val="superscript"/>
          <w:lang w:val="en-US"/>
        </w:rPr>
        <w:t xml:space="preserve"> 144</w:t>
      </w:r>
      <w:r>
        <w:rPr>
          <w:position w:val="0"/>
          <w:sz w:val="28"/>
          <w:sz w:val="28"/>
          <w:szCs w:val="28"/>
          <w:vertAlign w:val="baseline"/>
          <w:lang w:val="en-US"/>
        </w:rPr>
        <w:t>Pr source is one of the most suitable to search for neutrino oscillation into serile state for sterile neutrino mass around 1 eV.</w:t>
      </w:r>
      <w:r>
        <w:rPr>
          <w:sz w:val="28"/>
          <w:szCs w:val="28"/>
        </w:rPr>
        <w:t xml:space="preserve"> </w:t>
      </w:r>
      <w:r>
        <w:rPr>
          <w:color w:val="000000"/>
          <w:sz w:val="28"/>
          <w:szCs w:val="28"/>
          <w:lang w:val="en-US"/>
        </w:rPr>
        <w:t>Magnetic and electrostatic spectrometers have high resolution, but at the same time usage of such kinds of equipment involves the size and cost issues. Since electron mean free path at the energy of 3 MeV (which is basically the maximum energy of a beta-transition for the long-lived nuclei) does not exceed 2 g/cm</w:t>
      </w:r>
      <w:r>
        <w:rPr>
          <w:color w:val="000000"/>
          <w:sz w:val="28"/>
          <w:szCs w:val="28"/>
          <w:vertAlign w:val="superscript"/>
          <w:lang w:val="en-US"/>
        </w:rPr>
        <w:t>2,</w:t>
      </w:r>
      <w:r>
        <w:rPr>
          <w:color w:val="000000"/>
          <w:sz w:val="28"/>
          <w:szCs w:val="28"/>
          <w:lang w:val="en-US"/>
        </w:rPr>
        <w:t xml:space="preserve"> electron registration could be effectively performed with the solid state scintillators and semiconductors. </w:t>
      </w:r>
    </w:p>
    <w:p>
      <w:pPr>
        <w:pStyle w:val="Normal"/>
        <w:widowControl w:val="false"/>
        <w:ind w:firstLine="340"/>
        <w:jc w:val="both"/>
        <w:rPr>
          <w:sz w:val="28"/>
          <w:szCs w:val="28"/>
          <w:lang w:val="en-US"/>
        </w:rPr>
      </w:pPr>
      <w:r>
        <w:rPr>
          <w:sz w:val="28"/>
          <w:szCs w:val="28"/>
          <w:lang w:val="en-US"/>
        </w:rPr>
        <w:t xml:space="preserve">A strong probability of backscattering from detector surface is present in case of semiconductor detectors and is dependent upon the detector material. One possible way of solving this issue is a precise simulation of the spectrometer response function that is quite promising as it could be used in a very simple target-detector setup. Another solution to this problem is usage of 4π geometry [2], that fully covers the radioactive source and is able to register the backscattered electrons. </w:t>
      </w:r>
    </w:p>
    <w:p>
      <w:pPr>
        <w:pStyle w:val="Normal"/>
        <w:widowControl w:val="false"/>
        <w:ind w:firstLine="340"/>
        <w:jc w:val="both"/>
        <w:rPr>
          <w:sz w:val="28"/>
          <w:szCs w:val="28"/>
          <w:lang w:val="en-US"/>
        </w:rPr>
      </w:pPr>
      <w:r>
        <w:rPr>
          <w:sz w:val="28"/>
          <w:szCs w:val="28"/>
          <w:lang w:val="en-US"/>
        </w:rPr>
        <w:t>In this work we present the results of</w:t>
      </w:r>
      <w:r>
        <w:rPr>
          <w:sz w:val="28"/>
          <w:szCs w:val="28"/>
          <w:vertAlign w:val="superscript"/>
          <w:lang w:val="en-US"/>
        </w:rPr>
        <w:t xml:space="preserve"> 144</w:t>
      </w:r>
      <w:r>
        <w:rPr>
          <w:sz w:val="28"/>
          <w:szCs w:val="28"/>
          <w:lang w:val="en-US"/>
        </w:rPr>
        <w:t>Ce –</w:t>
      </w:r>
      <w:r>
        <w:rPr>
          <w:sz w:val="28"/>
          <w:szCs w:val="28"/>
          <w:vertAlign w:val="superscript"/>
          <w:lang w:val="en-US"/>
        </w:rPr>
        <w:t xml:space="preserve"> 144</w:t>
      </w:r>
      <w:r>
        <w:rPr>
          <w:sz w:val="28"/>
          <w:szCs w:val="28"/>
          <w:lang w:val="en-US"/>
        </w:rPr>
        <w:t>Pr spectrum measurement performed with two setups of both types</w:t>
      </w:r>
      <w:r>
        <w:rPr>
          <w:sz w:val="28"/>
          <w:szCs w:val="28"/>
          <w:vertAlign w:val="superscript"/>
          <w:lang w:val="en-US"/>
        </w:rPr>
        <w:t xml:space="preserve">  </w:t>
      </w:r>
      <w:r>
        <w:rPr>
          <w:sz w:val="28"/>
          <w:szCs w:val="28"/>
          <w:lang w:val="en-US"/>
        </w:rPr>
        <w:t>and controlled with the shape of an allowed 0</w:t>
      </w:r>
      <w:r>
        <w:rPr>
          <w:sz w:val="28"/>
          <w:szCs w:val="28"/>
          <w:vertAlign w:val="superscript"/>
          <w:lang w:val="en-US"/>
        </w:rPr>
        <w:t xml:space="preserve">- </w:t>
      </w:r>
      <w:r>
        <w:rPr>
          <w:sz w:val="28"/>
          <w:szCs w:val="28"/>
          <w:lang w:val="en-US"/>
        </w:rPr>
        <w:t>- 1</w:t>
      </w:r>
      <w:r>
        <w:rPr>
          <w:sz w:val="28"/>
          <w:szCs w:val="28"/>
          <w:vertAlign w:val="superscript"/>
          <w:lang w:val="en-US"/>
        </w:rPr>
        <w:t xml:space="preserve">1 </w:t>
      </w:r>
      <w:r>
        <w:rPr>
          <w:sz w:val="28"/>
          <w:szCs w:val="28"/>
          <w:lang w:val="en-US"/>
        </w:rPr>
        <w:t xml:space="preserve"> transition in </w:t>
      </w:r>
      <w:r>
        <w:rPr>
          <w:sz w:val="28"/>
          <w:szCs w:val="28"/>
          <w:vertAlign w:val="superscript"/>
          <w:lang w:val="en-US"/>
        </w:rPr>
        <w:t>144</w:t>
      </w:r>
      <w:r>
        <w:rPr>
          <w:sz w:val="28"/>
          <w:szCs w:val="28"/>
          <w:lang w:val="en-US"/>
        </w:rPr>
        <w:t xml:space="preserve">Pr, having precision that was substantially increased with respect to the previous studies of these beta-spectra. </w:t>
      </w:r>
      <w:r>
        <w:rPr>
          <w:sz w:val="28"/>
          <w:szCs w:val="28"/>
          <w:lang w:val="en-US"/>
        </w:rPr>
        <w:t>We have obtained parameter values for the parameterized transition shape factor that is compared with the other experiments and could be used for electron antineutrino spectrum definition.</w:t>
      </w:r>
    </w:p>
    <w:p>
      <w:pPr>
        <w:pStyle w:val="Normal"/>
        <w:widowControl w:val="false"/>
        <w:ind w:firstLine="340"/>
        <w:jc w:val="both"/>
        <w:rPr>
          <w:sz w:val="28"/>
          <w:szCs w:val="28"/>
        </w:rPr>
      </w:pPr>
      <w:r>
        <w:rPr/>
      </w:r>
    </w:p>
    <w:p>
      <w:pPr>
        <w:pStyle w:val="Normal"/>
        <w:widowControl w:val="false"/>
        <w:jc w:val="center"/>
        <w:rPr>
          <w:i/>
          <w:i/>
          <w:iCs/>
        </w:rPr>
      </w:pPr>
      <w:r>
        <w:rPr>
          <w:i/>
          <w:iCs/>
        </w:rPr>
      </w:r>
    </w:p>
    <w:p>
      <w:pPr>
        <w:pStyle w:val="Normal"/>
        <w:widowControl w:val="false"/>
        <w:ind w:left="340" w:hanging="0"/>
        <w:jc w:val="both"/>
        <w:rPr>
          <w:lang w:val="en-US"/>
        </w:rPr>
      </w:pPr>
      <w:r>
        <w:rPr>
          <w:lang w:val="en-US"/>
        </w:rPr>
        <w:t xml:space="preserve">1. Theory of β-Rays Z. Phys. 88 (1934) 161, Nuovo Cim. 11 (1934) </w:t>
      </w:r>
    </w:p>
    <w:p>
      <w:pPr>
        <w:pStyle w:val="Normal"/>
        <w:widowControl w:val="false"/>
        <w:ind w:left="340" w:hanging="0"/>
        <w:jc w:val="both"/>
        <w:rPr>
          <w:lang w:val="en-US"/>
        </w:rPr>
      </w:pPr>
      <w:r>
        <w:rPr>
          <w:lang w:val="en-US"/>
        </w:rPr>
        <w:t xml:space="preserve">2. Alekseev I.E., Bakhlanov S.V., Derbin A.V. </w:t>
      </w:r>
      <w:r>
        <w:rPr>
          <w:i/>
          <w:lang w:val="en-US"/>
        </w:rPr>
        <w:t>et al.</w:t>
      </w:r>
      <w:r>
        <w:rPr>
          <w:lang w:val="en-US"/>
        </w:rPr>
        <w:t xml:space="preserve">  </w:t>
      </w:r>
      <w:r>
        <w:rPr>
          <w:i/>
          <w:lang w:val="en-US"/>
        </w:rPr>
        <w:t>Instrum Exp Tech</w:t>
      </w:r>
      <w:r>
        <w:rPr>
          <w:lang w:val="en-US"/>
        </w:rPr>
        <w:t xml:space="preserve"> </w:t>
      </w:r>
      <w:r>
        <w:rPr>
          <w:b/>
          <w:lang w:val="en-US"/>
        </w:rPr>
        <w:t xml:space="preserve">64, </w:t>
      </w:r>
      <w:r>
        <w:rPr>
          <w:lang w:val="en-US"/>
        </w:rPr>
        <w:t>190–194 (2021)</w:t>
      </w:r>
    </w:p>
    <w:p>
      <w:pPr>
        <w:pStyle w:val="Normal"/>
        <w:widowControl w:val="false"/>
        <w:jc w:val="center"/>
        <w:rPr>
          <w:lang w:val="en-US"/>
        </w:rPr>
      </w:pPr>
      <w:r>
        <w:rPr/>
      </w:r>
    </w:p>
    <w:sectPr>
      <w:headerReference w:type="default" r:id="rId2"/>
      <w:footerReference w:type="default" r:id="rId3"/>
      <w:type w:val="nextPage"/>
      <w:pgSz w:w="11906" w:h="16838"/>
      <w:pgMar w:left="1701" w:right="1134" w:header="720" w:top="1134" w:footer="72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80"/>
  <w:embedSystemFonts/>
  <w:defaultTabStop w:val="708"/>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4"/>
    <w:uiPriority w:val="99"/>
    <w:qFormat/>
    <w:locked/>
    <w:rsid w:val="004061c2"/>
    <w:rPr>
      <w:sz w:val="24"/>
      <w:lang w:val="ru-RU" w:eastAsia="ru-RU"/>
    </w:rPr>
  </w:style>
  <w:style w:type="character" w:styleId="Style15" w:customStyle="1">
    <w:name w:val="Нижний колонтитул Знак"/>
    <w:basedOn w:val="DefaultParagraphFont"/>
    <w:link w:val="a6"/>
    <w:uiPriority w:val="99"/>
    <w:qFormat/>
    <w:locked/>
    <w:rsid w:val="004061c2"/>
    <w:rPr>
      <w:sz w:val="24"/>
      <w:lang w:val="ru-RU" w:eastAsia="ru-RU"/>
    </w:rPr>
  </w:style>
  <w:style w:type="paragraph" w:styleId="Heading" w:customStyle="1">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rPr>
  </w:style>
  <w:style w:type="paragraph" w:styleId="HeaderandFooter" w:customStyle="1">
    <w:name w:val="Header and Footer"/>
    <w:basedOn w:val="Normal"/>
    <w:qFormat/>
    <w:pPr/>
    <w:rPr/>
  </w:style>
  <w:style w:type="paragraph" w:styleId="Header">
    <w:name w:val="Header"/>
    <w:basedOn w:val="Normal"/>
    <w:link w:val="a3"/>
    <w:uiPriority w:val="99"/>
    <w:unhideWhenUsed/>
    <w:rsid w:val="004061c2"/>
    <w:pPr>
      <w:tabs>
        <w:tab w:val="clear" w:pos="708"/>
        <w:tab w:val="center" w:pos="4844" w:leader="none"/>
        <w:tab w:val="right" w:pos="9689" w:leader="none"/>
      </w:tabs>
    </w:pPr>
    <w:rPr/>
  </w:style>
  <w:style w:type="paragraph" w:styleId="Footer">
    <w:name w:val="Footer"/>
    <w:basedOn w:val="Normal"/>
    <w:link w:val="a5"/>
    <w:uiPriority w:val="99"/>
    <w:unhideWhenUsed/>
    <w:rsid w:val="004061c2"/>
    <w:pPr>
      <w:tabs>
        <w:tab w:val="clear" w:pos="708"/>
        <w:tab w:val="center" w:pos="4844" w:leader="none"/>
        <w:tab w:val="right" w:pos="9689"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Application>LibreOffice/6.4.7.2$Linux_X86_64 LibreOffice_project/40$Build-2</Application>
  <Pages>1</Pages>
  <Words>411</Words>
  <Characters>2281</Characters>
  <CharactersWithSpaces>2692</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2022-01-27T13:25:00Z</dcterms:created>
  <dc:creator/>
  <dc:description/>
  <dc:language>en-US</dc:language>
  <cp:lastModifiedBy/>
  <dcterms:modified xsi:type="dcterms:W3CDTF">2022-03-30T10:57:34Z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