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DF" w:rsidRDefault="00422A6C">
      <w:pPr>
        <w:pStyle w:val="a5"/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NEW OUTLOOK ON THE </w:t>
      </w:r>
      <w:r w:rsidR="00183349" w:rsidRPr="008C543A">
        <w:rPr>
          <w:b/>
          <w:bCs/>
          <w:color w:val="auto"/>
          <w:sz w:val="32"/>
          <w:szCs w:val="32"/>
        </w:rPr>
        <w:t>SQUARE-WELL</w:t>
      </w:r>
      <w:r>
        <w:rPr>
          <w:b/>
          <w:bCs/>
          <w:sz w:val="32"/>
          <w:szCs w:val="32"/>
        </w:rPr>
        <w:t xml:space="preserve"> POTENTIAL </w:t>
      </w:r>
      <w:r w:rsidR="00405D32">
        <w:rPr>
          <w:b/>
          <w:bCs/>
          <w:sz w:val="32"/>
          <w:szCs w:val="32"/>
        </w:rPr>
        <w:t>APPROACH FOR ASTROPHYSICAL FUSION REACTION</w:t>
      </w:r>
    </w:p>
    <w:p w:rsidR="00B04ADF" w:rsidRDefault="00B04ADF">
      <w:pPr>
        <w:pStyle w:val="a5"/>
        <w:widowControl w:val="0"/>
        <w:jc w:val="center"/>
      </w:pPr>
    </w:p>
    <w:p w:rsidR="00B04ADF" w:rsidRDefault="00405D32">
      <w:pPr>
        <w:pStyle w:val="a5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S. Y. Torilov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N. A. Maltsev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V. I. Zherebchevsky</w:t>
      </w:r>
      <w:r>
        <w:rPr>
          <w:sz w:val="28"/>
          <w:szCs w:val="28"/>
          <w:vertAlign w:val="superscript"/>
        </w:rPr>
        <w:t>1</w:t>
      </w:r>
    </w:p>
    <w:p w:rsidR="00B04ADF" w:rsidRDefault="00405D32">
      <w:pPr>
        <w:pStyle w:val="a5"/>
        <w:widowControl w:val="0"/>
        <w:jc w:val="center"/>
        <w:rPr>
          <w:i/>
          <w:iCs/>
        </w:rPr>
      </w:pPr>
      <w:r>
        <w:rPr>
          <w:i/>
          <w:iCs/>
          <w:vertAlign w:val="superscript"/>
        </w:rPr>
        <w:t>1</w:t>
      </w:r>
      <w:r>
        <w:rPr>
          <w:i/>
          <w:iCs/>
        </w:rPr>
        <w:t>St. Petersburg University, Saint-Petersburg, Russia</w:t>
      </w:r>
    </w:p>
    <w:p w:rsidR="00B04ADF" w:rsidRDefault="00405D32">
      <w:pPr>
        <w:pStyle w:val="a5"/>
        <w:widowControl w:val="0"/>
        <w:tabs>
          <w:tab w:val="center" w:pos="4536"/>
          <w:tab w:val="left" w:pos="6535"/>
        </w:tabs>
      </w:pPr>
      <w:r>
        <w:tab/>
        <w:t>E-mail: s.torilov@spbu.ru</w:t>
      </w:r>
      <w:r>
        <w:tab/>
      </w:r>
      <w:bookmarkStart w:id="0" w:name="_GoBack"/>
      <w:bookmarkEnd w:id="0"/>
    </w:p>
    <w:p w:rsidR="00B04ADF" w:rsidRDefault="00B04ADF">
      <w:pPr>
        <w:pStyle w:val="a5"/>
        <w:widowControl w:val="0"/>
        <w:jc w:val="center"/>
      </w:pPr>
    </w:p>
    <w:p w:rsidR="00B04ADF" w:rsidRDefault="00B6487A">
      <w:pPr>
        <w:pStyle w:val="a5"/>
        <w:widowControl w:val="0"/>
        <w:ind w:firstLine="340"/>
        <w:jc w:val="both"/>
        <w:rPr>
          <w:sz w:val="28"/>
          <w:szCs w:val="28"/>
        </w:rPr>
      </w:pPr>
      <w:r w:rsidRPr="00422A6C">
        <w:rPr>
          <w:color w:val="auto"/>
          <w:sz w:val="28"/>
          <w:szCs w:val="28"/>
          <w:shd w:val="clear" w:color="auto" w:fill="FFFFFF" w:themeFill="background1"/>
        </w:rPr>
        <w:t xml:space="preserve">Latest achievements </w:t>
      </w:r>
      <w:r w:rsidR="00405D32" w:rsidRPr="00422A6C">
        <w:rPr>
          <w:color w:val="auto"/>
          <w:sz w:val="28"/>
          <w:szCs w:val="28"/>
          <w:shd w:val="clear" w:color="auto" w:fill="FFFFFF" w:themeFill="background1"/>
        </w:rPr>
        <w:t xml:space="preserve">in experimental study of </w:t>
      </w:r>
      <w:r w:rsidR="00656C31" w:rsidRPr="00422A6C">
        <w:rPr>
          <w:color w:val="auto"/>
          <w:sz w:val="28"/>
          <w:szCs w:val="28"/>
          <w:shd w:val="clear" w:color="auto" w:fill="FFFFFF" w:themeFill="background1"/>
        </w:rPr>
        <w:t xml:space="preserve">light nuclei </w:t>
      </w:r>
      <w:r w:rsidR="00405D32" w:rsidRPr="00422A6C">
        <w:rPr>
          <w:color w:val="auto"/>
          <w:sz w:val="28"/>
          <w:szCs w:val="28"/>
          <w:shd w:val="clear" w:color="auto" w:fill="FFFFFF" w:themeFill="background1"/>
        </w:rPr>
        <w:t>fusion</w:t>
      </w:r>
      <w:r w:rsidR="00B9145B" w:rsidRPr="00422A6C">
        <w:rPr>
          <w:color w:val="auto"/>
          <w:sz w:val="28"/>
          <w:szCs w:val="28"/>
          <w:shd w:val="clear" w:color="auto" w:fill="FFFFFF" w:themeFill="background1"/>
        </w:rPr>
        <w:t xml:space="preserve"> reactions relevant for nuclear astrophysics</w:t>
      </w:r>
      <w:r w:rsidR="00405D32" w:rsidRPr="00422A6C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405D32" w:rsidRPr="00B34CD6">
        <w:rPr>
          <w:color w:val="auto"/>
          <w:sz w:val="28"/>
          <w:szCs w:val="28"/>
          <w:shd w:val="clear" w:color="auto" w:fill="FFFFFF" w:themeFill="background1"/>
        </w:rPr>
        <w:t xml:space="preserve">in the deep </w:t>
      </w:r>
      <w:proofErr w:type="spellStart"/>
      <w:r w:rsidR="00405D32" w:rsidRPr="00B34CD6">
        <w:rPr>
          <w:color w:val="auto"/>
          <w:sz w:val="28"/>
          <w:szCs w:val="28"/>
          <w:shd w:val="clear" w:color="auto" w:fill="FFFFFF" w:themeFill="background1"/>
        </w:rPr>
        <w:t>subbarrier</w:t>
      </w:r>
      <w:proofErr w:type="spellEnd"/>
      <w:r w:rsidR="00405D32" w:rsidRPr="00B34CD6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B34CD6" w:rsidRPr="00B34CD6">
        <w:rPr>
          <w:color w:val="auto"/>
          <w:sz w:val="28"/>
          <w:szCs w:val="28"/>
          <w:shd w:val="clear" w:color="auto" w:fill="FFFFFF" w:themeFill="background1"/>
        </w:rPr>
        <w:t>region</w:t>
      </w:r>
      <w:r w:rsidR="00405D32" w:rsidRPr="00422A6C">
        <w:rPr>
          <w:color w:val="auto"/>
          <w:sz w:val="28"/>
          <w:szCs w:val="28"/>
          <w:shd w:val="clear" w:color="auto" w:fill="FFFFFF" w:themeFill="background1"/>
        </w:rPr>
        <w:t xml:space="preserve"> required the development of models that make it possible to describe the reaction cross section at low energies [1]. Today there is no unified approach to </w:t>
      </w:r>
      <w:r w:rsidR="00B9145B" w:rsidRPr="00422A6C">
        <w:rPr>
          <w:color w:val="auto"/>
          <w:sz w:val="28"/>
          <w:szCs w:val="28"/>
          <w:shd w:val="clear" w:color="auto" w:fill="FFFFFF" w:themeFill="background1"/>
        </w:rPr>
        <w:t>describe such reactions</w:t>
      </w:r>
      <w:r w:rsidR="004353A0" w:rsidRPr="00422A6C">
        <w:rPr>
          <w:color w:val="auto"/>
          <w:sz w:val="28"/>
          <w:szCs w:val="28"/>
          <w:shd w:val="clear" w:color="auto" w:fill="FFFFFF" w:themeFill="background1"/>
        </w:rPr>
        <w:t xml:space="preserve">: a) </w:t>
      </w:r>
      <w:r w:rsidR="00B9145B" w:rsidRPr="00422A6C">
        <w:rPr>
          <w:color w:val="auto"/>
          <w:sz w:val="28"/>
          <w:szCs w:val="28"/>
          <w:shd w:val="clear" w:color="auto" w:fill="FFFFFF" w:themeFill="background1"/>
        </w:rPr>
        <w:t xml:space="preserve">with excluding of the potential </w:t>
      </w:r>
      <w:r w:rsidR="00405D32" w:rsidRPr="00422A6C">
        <w:rPr>
          <w:color w:val="auto"/>
          <w:sz w:val="28"/>
          <w:szCs w:val="28"/>
          <w:shd w:val="clear" w:color="auto" w:fill="FFFFFF" w:themeFill="background1"/>
        </w:rPr>
        <w:t xml:space="preserve">choice </w:t>
      </w:r>
      <w:r w:rsidR="00B9145B" w:rsidRPr="00422A6C">
        <w:rPr>
          <w:color w:val="auto"/>
          <w:sz w:val="28"/>
          <w:szCs w:val="28"/>
          <w:shd w:val="clear" w:color="auto" w:fill="FFFFFF" w:themeFill="background1"/>
        </w:rPr>
        <w:t>ambiguity</w:t>
      </w:r>
      <w:r w:rsidR="00405D32" w:rsidRPr="00422A6C">
        <w:rPr>
          <w:color w:val="auto"/>
          <w:sz w:val="28"/>
          <w:szCs w:val="28"/>
          <w:shd w:val="clear" w:color="auto" w:fill="FFFFFF" w:themeFill="background1"/>
        </w:rPr>
        <w:t xml:space="preserve"> [2]</w:t>
      </w:r>
      <w:r w:rsidR="004353A0" w:rsidRPr="00422A6C">
        <w:rPr>
          <w:color w:val="auto"/>
          <w:sz w:val="28"/>
          <w:szCs w:val="28"/>
          <w:shd w:val="clear" w:color="auto" w:fill="FFFFFF" w:themeFill="background1"/>
        </w:rPr>
        <w:t>;</w:t>
      </w:r>
      <w:r w:rsidR="00405D32" w:rsidRPr="00422A6C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4353A0" w:rsidRPr="00422A6C">
        <w:rPr>
          <w:color w:val="auto"/>
          <w:sz w:val="28"/>
          <w:szCs w:val="28"/>
          <w:shd w:val="clear" w:color="auto" w:fill="FFFFFF" w:themeFill="background1"/>
        </w:rPr>
        <w:t xml:space="preserve">b) with </w:t>
      </w:r>
      <w:r w:rsidR="00405D32" w:rsidRPr="00422A6C">
        <w:rPr>
          <w:color w:val="auto"/>
          <w:sz w:val="28"/>
          <w:szCs w:val="28"/>
          <w:shd w:val="clear" w:color="auto" w:fill="FFFFFF" w:themeFill="background1"/>
        </w:rPr>
        <w:t>the</w:t>
      </w:r>
      <w:r w:rsidR="004353A0" w:rsidRPr="00422A6C">
        <w:rPr>
          <w:color w:val="auto"/>
          <w:sz w:val="28"/>
          <w:szCs w:val="28"/>
          <w:shd w:val="clear" w:color="auto" w:fill="FFFFFF" w:themeFill="background1"/>
        </w:rPr>
        <w:t xml:space="preserve"> description of the</w:t>
      </w:r>
      <w:r w:rsidR="00405D32" w:rsidRPr="00422A6C">
        <w:rPr>
          <w:color w:val="auto"/>
          <w:sz w:val="28"/>
          <w:szCs w:val="28"/>
        </w:rPr>
        <w:t xml:space="preserve"> </w:t>
      </w:r>
      <w:r w:rsidR="00405D32">
        <w:rPr>
          <w:sz w:val="28"/>
          <w:szCs w:val="28"/>
        </w:rPr>
        <w:t>resonant nature of the cross section [3] and its hindrance for low energies [</w:t>
      </w:r>
      <w:r w:rsidR="00405D32" w:rsidRPr="00B6487A">
        <w:rPr>
          <w:sz w:val="28"/>
          <w:szCs w:val="28"/>
        </w:rPr>
        <w:t>1</w:t>
      </w:r>
      <w:r w:rsidR="00405D32">
        <w:rPr>
          <w:sz w:val="28"/>
          <w:szCs w:val="28"/>
        </w:rPr>
        <w:t xml:space="preserve">]. </w:t>
      </w:r>
    </w:p>
    <w:p w:rsidR="00B04ADF" w:rsidRDefault="00CE55B9">
      <w:pPr>
        <w:pStyle w:val="a5"/>
        <w:widowControl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05D32">
        <w:rPr>
          <w:sz w:val="28"/>
          <w:szCs w:val="28"/>
        </w:rPr>
        <w:t>s a first approach</w:t>
      </w:r>
      <w:r>
        <w:rPr>
          <w:sz w:val="28"/>
          <w:szCs w:val="28"/>
        </w:rPr>
        <w:t xml:space="preserve"> we can consider the square-well potential</w:t>
      </w:r>
      <w:r w:rsidR="00405D32">
        <w:rPr>
          <w:sz w:val="28"/>
          <w:szCs w:val="28"/>
        </w:rPr>
        <w:t>, which allows a simple analytical expression to determine the transmission coefficients and hence the reaction cross section. As was shown in [</w:t>
      </w:r>
      <w:r w:rsidR="00405D32" w:rsidRPr="00B6487A">
        <w:rPr>
          <w:sz w:val="28"/>
          <w:szCs w:val="28"/>
        </w:rPr>
        <w:t>4</w:t>
      </w:r>
      <w:r w:rsidR="00405D32">
        <w:rPr>
          <w:sz w:val="28"/>
          <w:szCs w:val="28"/>
        </w:rPr>
        <w:t xml:space="preserve">], </w:t>
      </w:r>
      <w:r>
        <w:rPr>
          <w:sz w:val="28"/>
          <w:szCs w:val="28"/>
        </w:rPr>
        <w:t>this</w:t>
      </w:r>
      <w:r w:rsidR="00405D32">
        <w:rPr>
          <w:sz w:val="28"/>
          <w:szCs w:val="28"/>
        </w:rPr>
        <w:t xml:space="preserve"> model give</w:t>
      </w:r>
      <w:r w:rsidR="00422A6C">
        <w:rPr>
          <w:sz w:val="28"/>
          <w:szCs w:val="28"/>
        </w:rPr>
        <w:t>s</w:t>
      </w:r>
      <w:r w:rsidR="00405D32">
        <w:rPr>
          <w:sz w:val="28"/>
          <w:szCs w:val="28"/>
        </w:rPr>
        <w:t xml:space="preserve"> us the possibility to describe the fusion cross section in the low-energy region for </w:t>
      </w:r>
      <w:r w:rsidR="00405D32">
        <w:rPr>
          <w:sz w:val="28"/>
          <w:szCs w:val="28"/>
          <w:vertAlign w:val="superscript"/>
        </w:rPr>
        <w:t>16</w:t>
      </w:r>
      <w:r w:rsidR="00405D32">
        <w:rPr>
          <w:sz w:val="28"/>
          <w:szCs w:val="28"/>
        </w:rPr>
        <w:t xml:space="preserve">O + </w:t>
      </w:r>
      <w:r w:rsidR="00405D32">
        <w:rPr>
          <w:sz w:val="28"/>
          <w:szCs w:val="28"/>
          <w:vertAlign w:val="superscript"/>
        </w:rPr>
        <w:t>16</w:t>
      </w:r>
      <w:r w:rsidR="00405D32">
        <w:rPr>
          <w:sz w:val="28"/>
          <w:szCs w:val="28"/>
        </w:rPr>
        <w:t>O nuclei with sufficient accuracy.</w:t>
      </w:r>
    </w:p>
    <w:p w:rsidR="00B04ADF" w:rsidRPr="00B34CD6" w:rsidRDefault="00405D32">
      <w:pPr>
        <w:pStyle w:val="a5"/>
        <w:widowControl w:val="0"/>
        <w:ind w:firstLine="340"/>
        <w:jc w:val="both"/>
        <w:rPr>
          <w:color w:val="auto"/>
          <w:sz w:val="28"/>
          <w:szCs w:val="28"/>
        </w:rPr>
      </w:pPr>
      <w:r w:rsidRPr="00B34CD6">
        <w:rPr>
          <w:color w:val="auto"/>
          <w:sz w:val="28"/>
          <w:szCs w:val="28"/>
        </w:rPr>
        <w:t xml:space="preserve">In </w:t>
      </w:r>
      <w:r w:rsidR="009F168E" w:rsidRPr="00B34CD6">
        <w:rPr>
          <w:color w:val="auto"/>
          <w:sz w:val="28"/>
          <w:szCs w:val="28"/>
        </w:rPr>
        <w:t xml:space="preserve">present </w:t>
      </w:r>
      <w:r w:rsidRPr="00B34CD6">
        <w:rPr>
          <w:color w:val="auto"/>
          <w:sz w:val="28"/>
          <w:szCs w:val="28"/>
        </w:rPr>
        <w:t xml:space="preserve">work, the square-well model </w:t>
      </w:r>
      <w:r w:rsidR="00133DC8" w:rsidRPr="00B34CD6">
        <w:rPr>
          <w:color w:val="auto"/>
          <w:sz w:val="28"/>
          <w:szCs w:val="28"/>
        </w:rPr>
        <w:t xml:space="preserve">was </w:t>
      </w:r>
      <w:r w:rsidRPr="00B34CD6">
        <w:rPr>
          <w:color w:val="auto"/>
          <w:sz w:val="28"/>
          <w:szCs w:val="28"/>
        </w:rPr>
        <w:t xml:space="preserve">applied to the </w:t>
      </w:r>
      <w:r w:rsidR="00133DC8" w:rsidRPr="00B34CD6">
        <w:rPr>
          <w:color w:val="auto"/>
          <w:sz w:val="28"/>
          <w:szCs w:val="28"/>
        </w:rPr>
        <w:t>light nuclei</w:t>
      </w:r>
      <w:r w:rsidR="00245A21" w:rsidRPr="00B34CD6">
        <w:rPr>
          <w:color w:val="auto"/>
          <w:sz w:val="28"/>
          <w:szCs w:val="28"/>
        </w:rPr>
        <w:t xml:space="preserve"> (</w:t>
      </w:r>
      <w:r w:rsidR="00245A21" w:rsidRPr="00B34CD6">
        <w:rPr>
          <w:color w:val="auto"/>
          <w:sz w:val="28"/>
          <w:szCs w:val="28"/>
          <w:vertAlign w:val="superscript"/>
        </w:rPr>
        <w:t>10</w:t>
      </w:r>
      <w:r w:rsidR="00245A21" w:rsidRPr="00B34CD6">
        <w:rPr>
          <w:color w:val="auto"/>
          <w:sz w:val="28"/>
          <w:szCs w:val="28"/>
        </w:rPr>
        <w:t xml:space="preserve">B, </w:t>
      </w:r>
      <w:r w:rsidR="00245A21" w:rsidRPr="00B34CD6">
        <w:rPr>
          <w:color w:val="auto"/>
          <w:sz w:val="28"/>
          <w:szCs w:val="28"/>
          <w:vertAlign w:val="superscript"/>
        </w:rPr>
        <w:t>12</w:t>
      </w:r>
      <w:r w:rsidR="00245A21" w:rsidRPr="00B34CD6">
        <w:rPr>
          <w:color w:val="auto"/>
          <w:sz w:val="28"/>
          <w:szCs w:val="28"/>
        </w:rPr>
        <w:t xml:space="preserve">C, </w:t>
      </w:r>
      <w:r w:rsidR="00245A21" w:rsidRPr="00B34CD6">
        <w:rPr>
          <w:color w:val="auto"/>
          <w:sz w:val="28"/>
          <w:szCs w:val="28"/>
          <w:vertAlign w:val="superscript"/>
        </w:rPr>
        <w:t>14</w:t>
      </w:r>
      <w:r w:rsidR="00245A21" w:rsidRPr="00B34CD6">
        <w:rPr>
          <w:color w:val="auto"/>
          <w:sz w:val="28"/>
          <w:szCs w:val="28"/>
        </w:rPr>
        <w:t xml:space="preserve">N, </w:t>
      </w:r>
      <w:r w:rsidR="00245A21" w:rsidRPr="00B34CD6">
        <w:rPr>
          <w:color w:val="auto"/>
          <w:sz w:val="28"/>
          <w:szCs w:val="28"/>
          <w:vertAlign w:val="superscript"/>
        </w:rPr>
        <w:t>16</w:t>
      </w:r>
      <w:r w:rsidR="00245A21" w:rsidRPr="00B34CD6">
        <w:rPr>
          <w:color w:val="auto"/>
          <w:sz w:val="28"/>
          <w:szCs w:val="28"/>
        </w:rPr>
        <w:t xml:space="preserve">O, </w:t>
      </w:r>
      <w:r w:rsidR="00245A21" w:rsidRPr="00B34CD6">
        <w:rPr>
          <w:color w:val="auto"/>
          <w:sz w:val="28"/>
          <w:szCs w:val="28"/>
          <w:vertAlign w:val="superscript"/>
        </w:rPr>
        <w:t>18</w:t>
      </w:r>
      <w:r w:rsidR="00245A21" w:rsidRPr="00B34CD6">
        <w:rPr>
          <w:color w:val="auto"/>
          <w:sz w:val="28"/>
          <w:szCs w:val="28"/>
        </w:rPr>
        <w:t xml:space="preserve">O, </w:t>
      </w:r>
      <w:r w:rsidR="00245A21" w:rsidRPr="00B34CD6">
        <w:rPr>
          <w:color w:val="auto"/>
          <w:sz w:val="28"/>
          <w:szCs w:val="28"/>
          <w:vertAlign w:val="superscript"/>
        </w:rPr>
        <w:t>20</w:t>
      </w:r>
      <w:r w:rsidR="00245A21" w:rsidRPr="00B34CD6">
        <w:rPr>
          <w:color w:val="auto"/>
          <w:sz w:val="28"/>
          <w:szCs w:val="28"/>
        </w:rPr>
        <w:t>Ne)</w:t>
      </w:r>
      <w:r w:rsidR="00133DC8" w:rsidRPr="00B34CD6">
        <w:rPr>
          <w:color w:val="auto"/>
          <w:sz w:val="28"/>
          <w:szCs w:val="28"/>
        </w:rPr>
        <w:t xml:space="preserve"> </w:t>
      </w:r>
      <w:r w:rsidRPr="00B34CD6">
        <w:rPr>
          <w:color w:val="auto"/>
          <w:sz w:val="28"/>
          <w:szCs w:val="28"/>
        </w:rPr>
        <w:t>fusion reactions important</w:t>
      </w:r>
      <w:r w:rsidR="00245A21" w:rsidRPr="00B34CD6">
        <w:rPr>
          <w:color w:val="auto"/>
          <w:sz w:val="28"/>
          <w:szCs w:val="28"/>
        </w:rPr>
        <w:t xml:space="preserve"> for nuclear</w:t>
      </w:r>
      <w:r w:rsidRPr="00B34CD6">
        <w:rPr>
          <w:color w:val="auto"/>
          <w:sz w:val="28"/>
          <w:szCs w:val="28"/>
        </w:rPr>
        <w:t xml:space="preserve"> astrophysics. Functional dependences for the potential depth and well’s radius </w:t>
      </w:r>
      <w:r w:rsidR="009F168E" w:rsidRPr="00B34CD6">
        <w:rPr>
          <w:color w:val="auto"/>
          <w:sz w:val="28"/>
          <w:szCs w:val="28"/>
        </w:rPr>
        <w:t xml:space="preserve">were </w:t>
      </w:r>
      <w:r w:rsidRPr="00B34CD6">
        <w:rPr>
          <w:color w:val="auto"/>
          <w:sz w:val="28"/>
          <w:szCs w:val="28"/>
        </w:rPr>
        <w:t>obtained. Artifacts associated with abruptly changed shallow potential well</w:t>
      </w:r>
      <w:r w:rsidR="009F168E" w:rsidRPr="00B34CD6">
        <w:rPr>
          <w:color w:val="auto"/>
          <w:sz w:val="28"/>
          <w:szCs w:val="28"/>
        </w:rPr>
        <w:t>:</w:t>
      </w:r>
      <w:r w:rsidRPr="00B34CD6">
        <w:rPr>
          <w:color w:val="auto"/>
          <w:sz w:val="28"/>
          <w:szCs w:val="28"/>
        </w:rPr>
        <w:t xml:space="preserve"> overestimation</w:t>
      </w:r>
      <w:r w:rsidR="00422A6C" w:rsidRPr="00B34CD6">
        <w:rPr>
          <w:color w:val="auto"/>
          <w:sz w:val="28"/>
          <w:szCs w:val="28"/>
        </w:rPr>
        <w:t>s</w:t>
      </w:r>
      <w:r w:rsidRPr="00B34CD6">
        <w:rPr>
          <w:color w:val="auto"/>
          <w:sz w:val="28"/>
          <w:szCs w:val="28"/>
        </w:rPr>
        <w:t xml:space="preserve"> of the channel radius, anomalous behavior of the imaginary potential for a number of reactions</w:t>
      </w:r>
      <w:r w:rsidR="009F168E" w:rsidRPr="00B34CD6">
        <w:rPr>
          <w:color w:val="auto"/>
          <w:sz w:val="28"/>
          <w:szCs w:val="28"/>
        </w:rPr>
        <w:t xml:space="preserve"> were determined</w:t>
      </w:r>
      <w:r w:rsidRPr="00B34CD6">
        <w:rPr>
          <w:color w:val="auto"/>
          <w:sz w:val="28"/>
          <w:szCs w:val="28"/>
        </w:rPr>
        <w:t>.</w:t>
      </w:r>
    </w:p>
    <w:p w:rsidR="00B04ADF" w:rsidRPr="00B34CD6" w:rsidRDefault="00405D32">
      <w:pPr>
        <w:pStyle w:val="a5"/>
        <w:widowControl w:val="0"/>
        <w:ind w:firstLine="340"/>
        <w:jc w:val="both"/>
        <w:rPr>
          <w:color w:val="auto"/>
          <w:sz w:val="28"/>
          <w:szCs w:val="28"/>
        </w:rPr>
      </w:pPr>
      <w:r w:rsidRPr="00B34CD6">
        <w:rPr>
          <w:color w:val="auto"/>
          <w:sz w:val="28"/>
          <w:szCs w:val="28"/>
        </w:rPr>
        <w:t xml:space="preserve">It </w:t>
      </w:r>
      <w:r w:rsidR="00220305" w:rsidRPr="00B34CD6">
        <w:rPr>
          <w:color w:val="auto"/>
          <w:sz w:val="28"/>
          <w:szCs w:val="28"/>
        </w:rPr>
        <w:t xml:space="preserve">was </w:t>
      </w:r>
      <w:r w:rsidRPr="00B34CD6">
        <w:rPr>
          <w:color w:val="auto"/>
          <w:sz w:val="28"/>
          <w:szCs w:val="28"/>
        </w:rPr>
        <w:t xml:space="preserve">shown that, within the framework of </w:t>
      </w:r>
      <w:r w:rsidR="00133DC8" w:rsidRPr="00B34CD6">
        <w:rPr>
          <w:color w:val="auto"/>
          <w:sz w:val="28"/>
          <w:szCs w:val="28"/>
        </w:rPr>
        <w:t xml:space="preserve">used </w:t>
      </w:r>
      <w:r w:rsidRPr="00B34CD6">
        <w:rPr>
          <w:color w:val="auto"/>
          <w:sz w:val="28"/>
          <w:szCs w:val="28"/>
        </w:rPr>
        <w:t xml:space="preserve">model, a satisfactory description can be achieved for all </w:t>
      </w:r>
      <w:r w:rsidR="00133DC8" w:rsidRPr="00B34CD6">
        <w:rPr>
          <w:color w:val="auto"/>
          <w:sz w:val="28"/>
          <w:szCs w:val="28"/>
        </w:rPr>
        <w:t xml:space="preserve">investigated </w:t>
      </w:r>
      <w:r w:rsidRPr="00B34CD6">
        <w:rPr>
          <w:color w:val="auto"/>
          <w:sz w:val="28"/>
          <w:szCs w:val="28"/>
        </w:rPr>
        <w:t>reactions.</w:t>
      </w:r>
    </w:p>
    <w:p w:rsidR="00B04ADF" w:rsidRDefault="00B04ADF">
      <w:pPr>
        <w:pStyle w:val="a5"/>
        <w:widowControl w:val="0"/>
        <w:ind w:firstLine="340"/>
        <w:jc w:val="both"/>
        <w:rPr>
          <w:sz w:val="28"/>
          <w:szCs w:val="28"/>
        </w:rPr>
      </w:pPr>
    </w:p>
    <w:p w:rsidR="00B04ADF" w:rsidRDefault="00405D32">
      <w:pPr>
        <w:pStyle w:val="a5"/>
        <w:widowControl w:val="0"/>
        <w:ind w:left="340"/>
        <w:jc w:val="both"/>
      </w:pPr>
      <w:r>
        <w:t xml:space="preserve">1. C. L. Jiang, B. B. </w:t>
      </w:r>
      <w:proofErr w:type="gramStart"/>
      <w:r>
        <w:t xml:space="preserve">Back, K. E. </w:t>
      </w:r>
      <w:proofErr w:type="spellStart"/>
      <w:r>
        <w:t>Rehm</w:t>
      </w:r>
      <w:proofErr w:type="spellEnd"/>
      <w:r>
        <w:t xml:space="preserve"> et al, Eur. Phys. J.</w:t>
      </w:r>
      <w:proofErr w:type="gramEnd"/>
      <w:r>
        <w:t xml:space="preserve"> </w:t>
      </w:r>
      <w:proofErr w:type="gramStart"/>
      <w:r>
        <w:t>A 57, 235 (2021).</w:t>
      </w:r>
      <w:proofErr w:type="gramEnd"/>
    </w:p>
    <w:p w:rsidR="00B04ADF" w:rsidRDefault="00405D32">
      <w:pPr>
        <w:pStyle w:val="a5"/>
        <w:widowControl w:val="0"/>
        <w:ind w:left="340"/>
        <w:jc w:val="both"/>
      </w:pPr>
      <w:r>
        <w:t xml:space="preserve">2. S. Y. </w:t>
      </w:r>
      <w:proofErr w:type="spellStart"/>
      <w:r>
        <w:t>Torilov</w:t>
      </w:r>
      <w:proofErr w:type="spellEnd"/>
      <w:r>
        <w:t xml:space="preserve">, N. A. </w:t>
      </w:r>
      <w:proofErr w:type="spellStart"/>
      <w:r>
        <w:t>Maltsev</w:t>
      </w:r>
      <w:proofErr w:type="spellEnd"/>
      <w:r>
        <w:t xml:space="preserve"> and V. I. Zherebchevsky, </w:t>
      </w:r>
      <w:r>
        <w:rPr>
          <w:lang w:val="it-IT"/>
        </w:rPr>
        <w:t>Bull. Russ. Acad. Sci. Phys.</w:t>
      </w:r>
      <w:r>
        <w:t> </w:t>
      </w:r>
      <w:proofErr w:type="gramStart"/>
      <w:r>
        <w:t>85,</w:t>
      </w:r>
      <w:r>
        <w:rPr>
          <w:b/>
          <w:bCs/>
        </w:rPr>
        <w:t> </w:t>
      </w:r>
      <w:r>
        <w:t>548 (2021).</w:t>
      </w:r>
      <w:proofErr w:type="gramEnd"/>
    </w:p>
    <w:p w:rsidR="00B04ADF" w:rsidRDefault="00405D32">
      <w:pPr>
        <w:pStyle w:val="a5"/>
        <w:widowControl w:val="0"/>
        <w:ind w:left="340"/>
        <w:jc w:val="both"/>
      </w:pPr>
      <w:r>
        <w:t xml:space="preserve">3. S. Y. </w:t>
      </w:r>
      <w:proofErr w:type="spellStart"/>
      <w:r>
        <w:t>Torilov</w:t>
      </w:r>
      <w:proofErr w:type="spellEnd"/>
      <w:r>
        <w:t xml:space="preserve">, N. A. </w:t>
      </w:r>
      <w:proofErr w:type="spellStart"/>
      <w:r>
        <w:t>Maltsev</w:t>
      </w:r>
      <w:proofErr w:type="spellEnd"/>
      <w:r>
        <w:t xml:space="preserve"> and V. I. Zherebchevsky et al, Phys. Part. Nuclei 53,</w:t>
      </w:r>
      <w:r>
        <w:rPr>
          <w:b/>
          <w:bCs/>
        </w:rPr>
        <w:t> </w:t>
      </w:r>
      <w:r>
        <w:t>403 (2022)</w:t>
      </w:r>
    </w:p>
    <w:p w:rsidR="00B04ADF" w:rsidRDefault="00405D32">
      <w:pPr>
        <w:pStyle w:val="a5"/>
        <w:widowControl w:val="0"/>
        <w:ind w:left="340"/>
        <w:jc w:val="both"/>
      </w:pPr>
      <w:r>
        <w:t xml:space="preserve">4. R. Ogura, K. </w:t>
      </w:r>
      <w:proofErr w:type="spellStart"/>
      <w:r>
        <w:t>Hagino</w:t>
      </w:r>
      <w:proofErr w:type="spellEnd"/>
      <w:r>
        <w:t xml:space="preserve"> and C. A. </w:t>
      </w:r>
      <w:proofErr w:type="spellStart"/>
      <w:r>
        <w:t>Bertulani</w:t>
      </w:r>
      <w:proofErr w:type="spellEnd"/>
      <w:r>
        <w:t>, Phys. Phys. Rev. C 99, 065808 (2019).</w:t>
      </w:r>
    </w:p>
    <w:p w:rsidR="00B04ADF" w:rsidRDefault="00B04ADF">
      <w:pPr>
        <w:pStyle w:val="a5"/>
        <w:widowControl w:val="0"/>
        <w:ind w:left="340"/>
        <w:jc w:val="both"/>
      </w:pPr>
    </w:p>
    <w:sectPr w:rsidR="00B04ADF">
      <w:headerReference w:type="default" r:id="rId7"/>
      <w:footerReference w:type="default" r:id="rId8"/>
      <w:pgSz w:w="1190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0C" w:rsidRDefault="0005100C">
      <w:r>
        <w:separator/>
      </w:r>
    </w:p>
  </w:endnote>
  <w:endnote w:type="continuationSeparator" w:id="0">
    <w:p w:rsidR="0005100C" w:rsidRDefault="0005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DF" w:rsidRDefault="00B04A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0C" w:rsidRDefault="0005100C">
      <w:r>
        <w:separator/>
      </w:r>
    </w:p>
  </w:footnote>
  <w:footnote w:type="continuationSeparator" w:id="0">
    <w:p w:rsidR="0005100C" w:rsidRDefault="00051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DF" w:rsidRDefault="00B0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4ADF"/>
    <w:rsid w:val="0005100C"/>
    <w:rsid w:val="00133DC8"/>
    <w:rsid w:val="00183349"/>
    <w:rsid w:val="00220305"/>
    <w:rsid w:val="00245A21"/>
    <w:rsid w:val="00405D32"/>
    <w:rsid w:val="00422A6C"/>
    <w:rsid w:val="004353A0"/>
    <w:rsid w:val="00457361"/>
    <w:rsid w:val="00656C31"/>
    <w:rsid w:val="006B0BCE"/>
    <w:rsid w:val="008A1567"/>
    <w:rsid w:val="008C543A"/>
    <w:rsid w:val="009F168E"/>
    <w:rsid w:val="00B04ADF"/>
    <w:rsid w:val="00B34CD6"/>
    <w:rsid w:val="00B47F5B"/>
    <w:rsid w:val="00B6487A"/>
    <w:rsid w:val="00B9145B"/>
    <w:rsid w:val="00C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2022-03-31T14:21:00Z</dcterms:created>
  <dcterms:modified xsi:type="dcterms:W3CDTF">2022-03-31T14:21:00Z</dcterms:modified>
</cp:coreProperties>
</file>