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jc w:val="center"/>
        <w:rPr/>
      </w:pPr>
      <w:r>
        <w:rPr>
          <w:b/>
          <w:bCs/>
          <w:sz w:val="32"/>
          <w:szCs w:val="32"/>
          <w:lang w:val="en-US"/>
        </w:rPr>
        <w:t xml:space="preserve">STUDY OF THE MECHANISMS OF HADRON-NUCLEAR   INTERACTIONS ON THE POSITIVE BEAM LINE 18            OF U-70 ACCELERATOR </w:t>
      </w:r>
    </w:p>
    <w:p>
      <w:pPr>
        <w:pStyle w:val="Normal"/>
        <w:widowControl w:val="false"/>
        <w:jc w:val="center"/>
        <w:rPr>
          <w:sz w:val="32"/>
          <w:szCs w:val="32"/>
          <w:lang w:val="en-US"/>
        </w:rPr>
      </w:pPr>
      <w:r>
        <w:rPr>
          <w:sz w:val="32"/>
          <w:szCs w:val="32"/>
          <w:lang w:val="en-US"/>
        </w:rPr>
        <w:t>(Experiment proposal)</w:t>
      </w:r>
    </w:p>
    <w:p>
      <w:pPr>
        <w:pStyle w:val="Normal"/>
        <w:widowControl w:val="false"/>
        <w:jc w:val="center"/>
        <w:rPr>
          <w:sz w:val="32"/>
          <w:szCs w:val="32"/>
          <w:lang w:val="en-US"/>
        </w:rPr>
      </w:pPr>
      <w:r>
        <w:rPr>
          <w:sz w:val="32"/>
          <w:szCs w:val="32"/>
          <w:lang w:val="en-US"/>
        </w:rPr>
      </w:r>
    </w:p>
    <w:p>
      <w:pPr>
        <w:pStyle w:val="Normal"/>
        <w:widowControl w:val="false"/>
        <w:jc w:val="center"/>
        <w:rPr/>
      </w:pPr>
      <w:r>
        <w:rPr>
          <w:position w:val="0"/>
          <w:sz w:val="28"/>
          <w:sz w:val="28"/>
          <w:szCs w:val="28"/>
          <w:vertAlign w:val="baseline"/>
          <w:lang w:val="en-US"/>
        </w:rPr>
        <w:t>A.M.Gorin</w:t>
      </w:r>
      <w:r>
        <w:rPr>
          <w:sz w:val="28"/>
          <w:szCs w:val="28"/>
          <w:vertAlign w:val="superscript"/>
          <w:lang w:val="en-US"/>
        </w:rPr>
        <w:t>1</w:t>
      </w:r>
      <w:r>
        <w:rPr>
          <w:position w:val="0"/>
          <w:sz w:val="28"/>
          <w:sz w:val="28"/>
          <w:szCs w:val="28"/>
          <w:vertAlign w:val="baseline"/>
          <w:lang w:val="en-US"/>
        </w:rPr>
        <w:t>, S.V.Evdokimov</w:t>
      </w:r>
      <w:r>
        <w:rPr>
          <w:sz w:val="28"/>
          <w:szCs w:val="28"/>
          <w:vertAlign w:val="superscript"/>
          <w:lang w:val="en-US"/>
        </w:rPr>
        <w:t>1</w:t>
      </w:r>
      <w:r>
        <w:rPr>
          <w:position w:val="0"/>
          <w:sz w:val="28"/>
          <w:sz w:val="28"/>
          <w:szCs w:val="28"/>
          <w:vertAlign w:val="baseline"/>
          <w:lang w:val="en-US"/>
        </w:rPr>
        <w:t>, V.I.Izucheev</w:t>
      </w:r>
      <w:r>
        <w:rPr>
          <w:sz w:val="28"/>
          <w:szCs w:val="28"/>
          <w:vertAlign w:val="superscript"/>
          <w:lang w:val="en-US"/>
        </w:rPr>
        <w:t>1</w:t>
      </w:r>
      <w:r>
        <w:rPr>
          <w:position w:val="0"/>
          <w:sz w:val="28"/>
          <w:sz w:val="28"/>
          <w:szCs w:val="28"/>
          <w:vertAlign w:val="baseline"/>
          <w:lang w:val="en-US"/>
        </w:rPr>
        <w:t>, Yu.V.Khar</w:t>
      </w:r>
      <w:r>
        <w:rPr>
          <w:position w:val="0"/>
          <w:sz w:val="28"/>
          <w:sz w:val="28"/>
          <w:szCs w:val="28"/>
          <w:vertAlign w:val="baseline"/>
          <w:lang w:val="en-US"/>
        </w:rPr>
        <w:t>l</w:t>
      </w:r>
      <w:r>
        <w:rPr>
          <w:position w:val="0"/>
          <w:sz w:val="28"/>
          <w:sz w:val="28"/>
          <w:szCs w:val="28"/>
          <w:vertAlign w:val="baseline"/>
          <w:lang w:val="en-US"/>
        </w:rPr>
        <w:t>ov</w:t>
      </w:r>
      <w:r>
        <w:rPr>
          <w:sz w:val="28"/>
          <w:szCs w:val="28"/>
          <w:vertAlign w:val="superscript"/>
          <w:lang w:val="en-US"/>
        </w:rPr>
        <w:t>1</w:t>
      </w:r>
      <w:r>
        <w:rPr>
          <w:position w:val="0"/>
          <w:sz w:val="28"/>
          <w:sz w:val="28"/>
          <w:szCs w:val="28"/>
          <w:vertAlign w:val="baseline"/>
          <w:lang w:val="en-US"/>
        </w:rPr>
        <w:t>, E.S.Kondratyuk</w:t>
      </w:r>
      <w:r>
        <w:rPr>
          <w:sz w:val="28"/>
          <w:szCs w:val="28"/>
          <w:vertAlign w:val="superscript"/>
          <w:lang w:val="en-US"/>
        </w:rPr>
        <w:t>1</w:t>
      </w:r>
      <w:r>
        <w:rPr>
          <w:position w:val="0"/>
          <w:sz w:val="28"/>
          <w:sz w:val="28"/>
          <w:szCs w:val="28"/>
          <w:vertAlign w:val="baseline"/>
          <w:lang w:val="en-US"/>
        </w:rPr>
        <w:t xml:space="preserve"> , B.V.Polishchuk</w:t>
      </w:r>
      <w:r>
        <w:rPr>
          <w:sz w:val="28"/>
          <w:szCs w:val="28"/>
          <w:vertAlign w:val="superscript"/>
          <w:lang w:val="en-US"/>
        </w:rPr>
        <w:t>1</w:t>
      </w:r>
      <w:r>
        <w:rPr>
          <w:position w:val="0"/>
          <w:sz w:val="28"/>
          <w:sz w:val="28"/>
          <w:szCs w:val="28"/>
          <w:vertAlign w:val="baseline"/>
          <w:lang w:val="en-US"/>
        </w:rPr>
        <w:t>, V.I.Rykalin</w:t>
      </w:r>
      <w:r>
        <w:rPr>
          <w:sz w:val="28"/>
          <w:szCs w:val="28"/>
          <w:vertAlign w:val="superscript"/>
          <w:lang w:val="en-US"/>
        </w:rPr>
        <w:t>1</w:t>
      </w:r>
      <w:r>
        <w:rPr>
          <w:position w:val="0"/>
          <w:sz w:val="28"/>
          <w:sz w:val="28"/>
          <w:szCs w:val="28"/>
          <w:vertAlign w:val="baseline"/>
          <w:lang w:val="en-US"/>
        </w:rPr>
        <w:t>, S.A.Sadovsky</w:t>
      </w:r>
      <w:r>
        <w:rPr>
          <w:sz w:val="28"/>
          <w:szCs w:val="28"/>
          <w:vertAlign w:val="superscript"/>
          <w:lang w:val="en-US"/>
        </w:rPr>
        <w:t>1</w:t>
      </w:r>
      <w:r>
        <w:rPr>
          <w:position w:val="0"/>
          <w:sz w:val="28"/>
          <w:sz w:val="28"/>
          <w:szCs w:val="28"/>
          <w:vertAlign w:val="baseline"/>
          <w:lang w:val="en-US"/>
        </w:rPr>
        <w:t>, A.A.Shangaraev</w:t>
      </w:r>
      <w:r>
        <w:rPr>
          <w:sz w:val="28"/>
          <w:szCs w:val="28"/>
          <w:vertAlign w:val="superscript"/>
          <w:lang w:val="en-US"/>
        </w:rPr>
        <w:t>1</w:t>
      </w:r>
      <w:r>
        <w:rPr>
          <w:position w:val="0"/>
          <w:sz w:val="28"/>
          <w:sz w:val="28"/>
          <w:szCs w:val="28"/>
          <w:vertAlign w:val="baseline"/>
          <w:lang w:val="en-US"/>
        </w:rPr>
        <w:t xml:space="preserve">,    </w:t>
      </w:r>
      <w:r>
        <w:rPr>
          <w:position w:val="0"/>
          <w:sz w:val="28"/>
          <w:sz w:val="28"/>
          <w:szCs w:val="28"/>
          <w:vertAlign w:val="baseline"/>
          <w:lang w:val="en-US"/>
        </w:rPr>
        <w:t>A</w:t>
      </w:r>
      <w:r>
        <w:rPr>
          <w:position w:val="0"/>
          <w:sz w:val="28"/>
          <w:sz w:val="28"/>
          <w:szCs w:val="28"/>
          <w:vertAlign w:val="baseline"/>
          <w:lang w:val="en-US"/>
        </w:rPr>
        <w:t>.A.Zaitsev</w:t>
      </w:r>
      <w:r>
        <w:rPr>
          <w:sz w:val="28"/>
          <w:szCs w:val="28"/>
          <w:vertAlign w:val="superscript"/>
          <w:lang w:val="en-US"/>
        </w:rPr>
        <w:t>2</w:t>
      </w:r>
    </w:p>
    <w:p>
      <w:pPr>
        <w:pStyle w:val="Normal"/>
        <w:widowControl w:val="false"/>
        <w:jc w:val="center"/>
        <w:rPr/>
      </w:pPr>
      <w:r>
        <w:rPr>
          <w:i/>
          <w:iCs/>
          <w:vertAlign w:val="superscript"/>
          <w:lang w:val="en-US"/>
        </w:rPr>
        <w:t xml:space="preserve">1 </w:t>
      </w:r>
      <w:r>
        <w:rPr>
          <w:i/>
          <w:iCs/>
          <w:sz w:val="24"/>
          <w:szCs w:val="24"/>
          <w:lang w:val="en-US"/>
        </w:rPr>
        <w:t>NRC “Kurchatov Institute” - IHEP, Protvino, Russia;</w:t>
      </w:r>
    </w:p>
    <w:p>
      <w:pPr>
        <w:pStyle w:val="Normal"/>
        <w:widowControl w:val="false"/>
        <w:jc w:val="center"/>
        <w:rPr/>
      </w:pPr>
      <w:r>
        <w:rPr>
          <w:i/>
          <w:iCs/>
          <w:lang w:val="en-US"/>
        </w:rPr>
        <w:t xml:space="preserve"> </w:t>
      </w:r>
      <w:r>
        <w:rPr>
          <w:i/>
          <w:iCs/>
          <w:vertAlign w:val="superscript"/>
          <w:lang w:val="en-US"/>
        </w:rPr>
        <w:t xml:space="preserve">3 </w:t>
      </w:r>
      <w:r>
        <w:rPr>
          <w:i/>
          <w:lang w:val="en-US"/>
        </w:rPr>
        <w:t>Joint Institute for Nuclear Rese</w:t>
      </w:r>
      <w:r>
        <w:rPr>
          <w:i/>
          <w:lang w:val="en-US"/>
        </w:rPr>
        <w:t>a</w:t>
      </w:r>
      <w:r>
        <w:rPr>
          <w:i/>
          <w:lang w:val="en-US"/>
        </w:rPr>
        <w:t>rch, Dubna, Russia</w:t>
      </w:r>
    </w:p>
    <w:p>
      <w:pPr>
        <w:pStyle w:val="Normal"/>
        <w:widowControl w:val="false"/>
        <w:tabs>
          <w:tab w:val="clear" w:pos="720"/>
          <w:tab w:val="center" w:pos="4536" w:leader="none"/>
          <w:tab w:val="left" w:pos="6535" w:leader="none"/>
        </w:tabs>
        <w:rPr/>
      </w:pPr>
      <w:r>
        <w:rPr>
          <w:lang w:val="en-US"/>
        </w:rPr>
        <w:tab/>
        <w:t>E-mail: Serguei.Sadovsky@ihep.ru</w:t>
        <w:tab/>
      </w:r>
    </w:p>
    <w:p>
      <w:pPr>
        <w:pStyle w:val="Normal"/>
        <w:widowControl w:val="false"/>
        <w:jc w:val="center"/>
        <w:rPr>
          <w:lang w:val="en-US"/>
        </w:rPr>
      </w:pPr>
      <w:r>
        <w:rPr>
          <w:lang w:val="en-US"/>
        </w:rPr>
      </w:r>
    </w:p>
    <w:p>
      <w:pPr>
        <w:pStyle w:val="Normal"/>
        <w:widowControl w:val="false"/>
        <w:ind w:firstLine="340"/>
        <w:jc w:val="both"/>
        <w:rPr>
          <w:rFonts w:ascii="Times New Roman" w:hAnsi="Times New Roman"/>
          <w:sz w:val="28"/>
          <w:szCs w:val="28"/>
        </w:rPr>
      </w:pPr>
      <w:r>
        <w:rPr/>
      </w:r>
    </w:p>
    <w:p>
      <w:pPr>
        <w:pStyle w:val="Normal"/>
        <w:widowControl w:val="false"/>
        <w:ind w:firstLine="340"/>
        <w:jc w:val="both"/>
        <w:rPr/>
      </w:pPr>
      <w:r>
        <w:rPr>
          <w:sz w:val="28"/>
          <w:szCs w:val="28"/>
        </w:rPr>
        <w:t xml:space="preserve">The </w:t>
      </w:r>
      <w:r>
        <w:rPr>
          <w:sz w:val="28"/>
          <w:szCs w:val="28"/>
        </w:rPr>
        <w:t>aim</w:t>
      </w:r>
      <w:r>
        <w:rPr>
          <w:sz w:val="28"/>
          <w:szCs w:val="28"/>
        </w:rPr>
        <w:t xml:space="preserve"> of the project is to study the mechanisms of hadron-nuclear interactions at the Hyperon experimental setup located on </w:t>
      </w:r>
      <w:r>
        <w:rPr>
          <w:sz w:val="28"/>
          <w:szCs w:val="28"/>
        </w:rPr>
        <w:t>beam line</w:t>
      </w:r>
      <w:r>
        <w:rPr>
          <w:sz w:val="28"/>
          <w:szCs w:val="28"/>
        </w:rPr>
        <w:t xml:space="preserve"> 18 of the U-70 accelerator complex, Protvino. It is proposed to upgrade the setup so that to be able to study additionally the excited states of secondary nuclei by means of precision nuclear gamma-ray spectroscopy in dependence on the specific type of interaction of hadrons with target nuclei. Of particular interest is the newly discovered d*(2370) dibarionic state formed both in vacuum and in the composition of light nuclei, where it can presumably replace deuteron clusters. Precision gamma-ray spectroscopy makes it possible to differentiate these cases. Further detailed study of these phenomena is necessary. It opens up a new direction in nuclear physics at the junction with the particle physics of intermediate energies. </w:t>
      </w:r>
    </w:p>
    <w:p>
      <w:pPr>
        <w:pStyle w:val="Normal"/>
        <w:widowControl w:val="false"/>
        <w:ind w:firstLine="340"/>
        <w:jc w:val="both"/>
        <w:rPr/>
      </w:pPr>
      <w:r>
        <w:rPr>
          <w:sz w:val="28"/>
          <w:szCs w:val="28"/>
        </w:rPr>
        <w:t>Th</w:t>
      </w:r>
      <w:r>
        <w:rPr>
          <w:sz w:val="28"/>
          <w:szCs w:val="28"/>
        </w:rPr>
        <w:t>e</w:t>
      </w:r>
      <w:r>
        <w:rPr>
          <w:sz w:val="28"/>
          <w:szCs w:val="28"/>
        </w:rPr>
        <w:t xml:space="preserve"> project will be carried out on the basis of the existing Hyperon-M experimental setup of </w:t>
      </w:r>
      <w:r>
        <w:rPr>
          <w:i w:val="false"/>
          <w:iCs w:val="false"/>
          <w:sz w:val="28"/>
          <w:szCs w:val="28"/>
          <w:lang w:val="en-US"/>
        </w:rPr>
        <w:t xml:space="preserve">NRC “Kurchatov Institute” - IHEP. </w:t>
      </w:r>
      <w:r>
        <w:rPr>
          <w:i w:val="false"/>
          <w:iCs w:val="false"/>
          <w:sz w:val="28"/>
          <w:szCs w:val="28"/>
          <w:lang w:val="en-US"/>
        </w:rPr>
        <w:t xml:space="preserve">The main detector of the setup is the </w:t>
      </w:r>
      <w:r>
        <w:rPr>
          <w:i w:val="false"/>
          <w:iCs w:val="false"/>
          <w:sz w:val="28"/>
          <w:szCs w:val="28"/>
          <w:lang w:val="en-US"/>
        </w:rPr>
        <w:t xml:space="preserve">cherenkov </w:t>
      </w:r>
      <w:r>
        <w:rPr>
          <w:i w:val="false"/>
          <w:iCs w:val="false"/>
          <w:sz w:val="28"/>
          <w:szCs w:val="28"/>
          <w:lang w:val="en-US"/>
        </w:rPr>
        <w:t xml:space="preserve">lead glass photon spectrometer LGD2 </w:t>
      </w:r>
      <w:r>
        <w:rPr>
          <w:i w:val="false"/>
          <w:iCs w:val="false"/>
          <w:sz w:val="28"/>
          <w:szCs w:val="28"/>
          <w:lang w:val="en-US"/>
        </w:rPr>
        <w:t>used</w:t>
      </w:r>
      <w:r>
        <w:rPr>
          <w:i w:val="false"/>
          <w:iCs w:val="false"/>
          <w:sz w:val="28"/>
          <w:szCs w:val="28"/>
          <w:lang w:val="en-US"/>
        </w:rPr>
        <w:t xml:space="preserve"> for detection </w:t>
      </w:r>
      <w:r>
        <w:rPr>
          <w:i w:val="false"/>
          <w:iCs w:val="false"/>
          <w:sz w:val="28"/>
          <w:szCs w:val="28"/>
          <w:lang w:val="en-US"/>
        </w:rPr>
        <w:t xml:space="preserve">of </w:t>
      </w:r>
      <w:r>
        <w:rPr>
          <w:i w:val="false"/>
          <w:iCs w:val="false"/>
          <w:sz w:val="28"/>
          <w:szCs w:val="28"/>
          <w:lang w:val="en-US"/>
        </w:rPr>
        <w:t xml:space="preserve">energetic photons in </w:t>
      </w:r>
      <w:r>
        <w:rPr>
          <w:i w:val="false"/>
          <w:iCs w:val="false"/>
          <w:sz w:val="28"/>
          <w:szCs w:val="28"/>
          <w:lang w:val="en-US"/>
        </w:rPr>
        <w:t xml:space="preserve">the </w:t>
      </w:r>
      <w:r>
        <w:rPr>
          <w:i w:val="false"/>
          <w:iCs w:val="false"/>
          <w:sz w:val="28"/>
          <w:szCs w:val="28"/>
          <w:lang w:val="en-US"/>
        </w:rPr>
        <w:t>forward hemisphere of reaction π</w:t>
      </w:r>
      <w:r>
        <w:rPr>
          <w:i w:val="false"/>
          <w:iCs w:val="false"/>
          <w:sz w:val="28"/>
          <w:szCs w:val="28"/>
          <w:vertAlign w:val="superscript"/>
          <w:lang w:val="en-US"/>
        </w:rPr>
        <w:t>+</w:t>
      </w:r>
      <w:r>
        <w:rPr>
          <w:i w:val="false"/>
          <w:iCs w:val="false"/>
          <w:sz w:val="28"/>
          <w:szCs w:val="28"/>
          <w:lang w:val="en-US"/>
        </w:rPr>
        <w:t xml:space="preserve">A </w:t>
      </w:r>
      <w:r>
        <w:rPr>
          <w:rFonts w:eastAsia="wasy10" w:cs="wasy10" w:ascii="Times New Roman" w:hAnsi="Times New Roman"/>
          <w:i w:val="false"/>
          <w:iCs w:val="false"/>
          <w:sz w:val="28"/>
          <w:szCs w:val="28"/>
          <w:lang w:val="en-US"/>
        </w:rPr>
        <w:t>➞ M</w:t>
      </w:r>
      <w:r>
        <w:rPr>
          <w:rFonts w:eastAsia="wasy10" w:cs="wasy10" w:ascii="Times New Roman" w:hAnsi="Times New Roman"/>
          <w:i w:val="false"/>
          <w:iCs w:val="false"/>
          <w:sz w:val="28"/>
          <w:szCs w:val="28"/>
          <w:vertAlign w:val="superscript"/>
          <w:lang w:val="en-US"/>
        </w:rPr>
        <w:t>0</w:t>
      </w:r>
      <w:r>
        <w:rPr>
          <w:rFonts w:eastAsia="wasy10" w:cs="wasy10" w:ascii="Times New Roman" w:hAnsi="Times New Roman"/>
          <w:i w:val="false"/>
          <w:iCs w:val="false"/>
          <w:sz w:val="28"/>
          <w:szCs w:val="28"/>
          <w:vertAlign w:val="subscript"/>
          <w:lang w:val="en-US"/>
        </w:rPr>
        <w:t>➞k</w:t>
      </w:r>
      <w:r>
        <w:rPr>
          <w:rFonts w:eastAsia="wasy10" w:cs="wasy10" w:ascii="DejaVu Sans Light" w:hAnsi="DejaVu Sans Light"/>
          <w:i w:val="false"/>
          <w:iCs w:val="false"/>
          <w:sz w:val="28"/>
          <w:szCs w:val="28"/>
          <w:vertAlign w:val="subscript"/>
          <w:lang w:val="en-US"/>
        </w:rPr>
        <w:t xml:space="preserve">γ </w:t>
      </w:r>
      <w:r>
        <w:rPr>
          <w:rFonts w:eastAsia="wasy10" w:cs="wasy10" w:ascii="Times New Roman" w:hAnsi="Times New Roman"/>
          <w:i w:val="false"/>
          <w:iCs w:val="false"/>
          <w:sz w:val="28"/>
          <w:szCs w:val="28"/>
          <w:lang w:val="en-US"/>
        </w:rPr>
        <w:t>A’.</w:t>
      </w:r>
      <w:r>
        <w:rPr>
          <w:rFonts w:eastAsia="wasy10" w:cs="wasy10"/>
          <w:i w:val="false"/>
          <w:iCs w:val="false"/>
          <w:sz w:val="28"/>
          <w:szCs w:val="28"/>
          <w:lang w:val="en-US"/>
        </w:rPr>
        <w:t xml:space="preserve"> </w:t>
      </w:r>
      <w:r>
        <w:rPr>
          <w:rFonts w:ascii="Times New Roman" w:hAnsi="Times New Roman"/>
          <w:i w:val="false"/>
          <w:iCs w:val="false"/>
          <w:sz w:val="28"/>
          <w:szCs w:val="28"/>
          <w:lang w:val="en-US"/>
        </w:rPr>
        <w:t xml:space="preserve">To fulfill the tasks of the </w:t>
      </w:r>
      <w:r>
        <w:rPr>
          <w:rFonts w:ascii="Times New Roman" w:hAnsi="Times New Roman"/>
          <w:i w:val="false"/>
          <w:iCs w:val="false"/>
          <w:sz w:val="28"/>
          <w:szCs w:val="28"/>
          <w:lang w:val="en-US"/>
        </w:rPr>
        <w:t xml:space="preserve">new </w:t>
      </w:r>
      <w:r>
        <w:rPr>
          <w:rFonts w:ascii="Times New Roman" w:hAnsi="Times New Roman"/>
          <w:i w:val="false"/>
          <w:iCs w:val="false"/>
          <w:sz w:val="28"/>
          <w:szCs w:val="28"/>
          <w:lang w:val="en-US"/>
        </w:rPr>
        <w:t xml:space="preserve">project, it is proposed to upgrade </w:t>
      </w:r>
      <w:r>
        <w:rPr>
          <w:rFonts w:ascii="Times New Roman" w:hAnsi="Times New Roman"/>
          <w:i w:val="false"/>
          <w:iCs w:val="false"/>
          <w:sz w:val="28"/>
          <w:szCs w:val="28"/>
          <w:lang w:val="en-US"/>
        </w:rPr>
        <w:t xml:space="preserve">the setup </w:t>
      </w:r>
      <w:r>
        <w:rPr>
          <w:rFonts w:ascii="Times New Roman" w:hAnsi="Times New Roman"/>
          <w:i w:val="false"/>
          <w:iCs w:val="false"/>
          <w:sz w:val="28"/>
          <w:szCs w:val="28"/>
          <w:lang w:val="en-US"/>
        </w:rPr>
        <w:t xml:space="preserve">with </w:t>
      </w:r>
      <w:r>
        <w:rPr>
          <w:rFonts w:ascii="Times New Roman" w:hAnsi="Times New Roman"/>
          <w:i w:val="false"/>
          <w:iCs w:val="false"/>
          <w:sz w:val="28"/>
          <w:szCs w:val="28"/>
          <w:lang w:val="en-US"/>
        </w:rPr>
        <w:t>the</w:t>
      </w:r>
      <w:r>
        <w:rPr>
          <w:rFonts w:ascii="Times New Roman" w:hAnsi="Times New Roman"/>
          <w:i w:val="false"/>
          <w:iCs w:val="false"/>
          <w:sz w:val="28"/>
          <w:szCs w:val="28"/>
          <w:lang w:val="en-US"/>
        </w:rPr>
        <w:t xml:space="preserve"> </w:t>
      </w:r>
      <w:r>
        <w:rPr>
          <w:rFonts w:ascii="Times New Roman" w:hAnsi="Times New Roman"/>
          <w:i w:val="false"/>
          <w:iCs w:val="false"/>
          <w:sz w:val="28"/>
          <w:szCs w:val="28"/>
          <w:lang w:val="en-US"/>
        </w:rPr>
        <w:t>C</w:t>
      </w:r>
      <w:r>
        <w:rPr>
          <w:rFonts w:ascii="Times New Roman" w:hAnsi="Times New Roman"/>
          <w:i w:val="false"/>
          <w:iCs w:val="false"/>
          <w:sz w:val="28"/>
          <w:szCs w:val="28"/>
          <w:lang w:val="en-US"/>
        </w:rPr>
        <w:t xml:space="preserve">harged </w:t>
      </w:r>
      <w:r>
        <w:rPr>
          <w:rFonts w:ascii="Times New Roman" w:hAnsi="Times New Roman"/>
          <w:i w:val="false"/>
          <w:iCs w:val="false"/>
          <w:sz w:val="28"/>
          <w:szCs w:val="28"/>
          <w:lang w:val="en-US"/>
        </w:rPr>
        <w:t>P</w:t>
      </w:r>
      <w:r>
        <w:rPr>
          <w:rFonts w:ascii="Times New Roman" w:hAnsi="Times New Roman"/>
          <w:i w:val="false"/>
          <w:iCs w:val="false"/>
          <w:sz w:val="28"/>
          <w:szCs w:val="28"/>
          <w:lang w:val="en-US"/>
        </w:rPr>
        <w:t xml:space="preserve">article </w:t>
      </w:r>
      <w:r>
        <w:rPr>
          <w:rFonts w:ascii="Times New Roman" w:hAnsi="Times New Roman"/>
          <w:i w:val="false"/>
          <w:iCs w:val="false"/>
          <w:sz w:val="28"/>
          <w:szCs w:val="28"/>
          <w:lang w:val="en-US"/>
        </w:rPr>
        <w:t>V</w:t>
      </w:r>
      <w:r>
        <w:rPr>
          <w:rFonts w:ascii="Times New Roman" w:hAnsi="Times New Roman"/>
          <w:i w:val="false"/>
          <w:iCs w:val="false"/>
          <w:sz w:val="28"/>
          <w:szCs w:val="28"/>
          <w:lang w:val="en-US"/>
        </w:rPr>
        <w:t xml:space="preserve">eto (CPV) </w:t>
      </w:r>
      <w:r>
        <w:rPr>
          <w:rFonts w:ascii="Times New Roman" w:hAnsi="Times New Roman"/>
          <w:i w:val="false"/>
          <w:iCs w:val="false"/>
          <w:sz w:val="28"/>
          <w:szCs w:val="28"/>
          <w:lang w:val="en-US"/>
        </w:rPr>
        <w:t>and Gamma Nuclear Transition (GNT) detectors. The CPV detector is a system of segmented scintillation counters dedicated for detection of the secondary charged particles in a solid angle close to 4π. For detection of the scintillation light the SiPM type photodetector will be used. The GNT detector is dedicated for precision measurement of photon energies in nuclear gamma-transitions of secondary nuclei formed as a result of the interaction of beam particles with target nuclei. The energy spectrum of these photons lies in the range from 0.25 to 80 MeV.</w:t>
      </w:r>
    </w:p>
    <w:p>
      <w:pPr>
        <w:pStyle w:val="Normal"/>
        <w:widowControl w:val="false"/>
        <w:ind w:firstLine="340"/>
        <w:jc w:val="both"/>
        <w:rPr/>
      </w:pPr>
      <w:r>
        <w:rPr>
          <w:sz w:val="28"/>
          <w:szCs w:val="28"/>
        </w:rPr>
        <w:t xml:space="preserve">After the gradual modernization of the setup to the Hyperon+ level, it is planned to expose the setup on the positive beam line with </w:t>
      </w:r>
      <w:r>
        <w:rPr>
          <w:sz w:val="28"/>
          <w:szCs w:val="28"/>
        </w:rPr>
        <w:t xml:space="preserve">the </w:t>
      </w:r>
      <w:r>
        <w:rPr>
          <w:sz w:val="28"/>
          <w:szCs w:val="28"/>
        </w:rPr>
        <w:t xml:space="preserve">momentum </w:t>
      </w:r>
      <w:r>
        <w:rPr>
          <w:sz w:val="28"/>
          <w:szCs w:val="28"/>
        </w:rPr>
        <w:t>of 7</w:t>
      </w:r>
      <w:r>
        <w:rPr>
          <w:sz w:val="28"/>
          <w:szCs w:val="28"/>
        </w:rPr>
        <w:t xml:space="preserve"> GeV/c for several nuclear targets (Li, Be, B, C, O) and obtain experimental data for a detailed analysis of 2π</w:t>
      </w:r>
      <w:r>
        <w:rPr>
          <w:sz w:val="28"/>
          <w:szCs w:val="28"/>
          <w:vertAlign w:val="superscript"/>
        </w:rPr>
        <w:t>0</w:t>
      </w:r>
      <w:r>
        <w:rPr>
          <w:sz w:val="28"/>
          <w:szCs w:val="28"/>
        </w:rPr>
        <w:t xml:space="preserve"> systems formed, among other things, as a result of the decay of d*(2370) -&gt;d+2π</w:t>
      </w:r>
      <w:r>
        <w:rPr>
          <w:sz w:val="28"/>
          <w:szCs w:val="28"/>
          <w:vertAlign w:val="superscript"/>
        </w:rPr>
        <w:t>0</w:t>
      </w:r>
      <w:r>
        <w:rPr>
          <w:sz w:val="28"/>
          <w:szCs w:val="28"/>
        </w:rPr>
        <w:t xml:space="preserve"> both in vacuum and inside the target nucleus. </w:t>
      </w:r>
    </w:p>
    <w:p>
      <w:pPr>
        <w:pStyle w:val="Normal"/>
        <w:widowControl w:val="false"/>
        <w:ind w:firstLine="340"/>
        <w:jc w:val="both"/>
        <w:rPr>
          <w:rFonts w:ascii="Times New Roman" w:hAnsi="Times New Roman"/>
          <w:sz w:val="28"/>
          <w:szCs w:val="28"/>
        </w:rPr>
      </w:pPr>
      <w:r>
        <w:rPr/>
      </w:r>
    </w:p>
    <w:p>
      <w:pPr>
        <w:pStyle w:val="Normal"/>
        <w:widowControl w:val="false"/>
        <w:ind w:hanging="0"/>
        <w:jc w:val="both"/>
        <w:rPr/>
      </w:pPr>
      <w:r>
        <w:rPr/>
      </w:r>
    </w:p>
    <w:sectPr>
      <w:headerReference w:type="default" r:id="rId2"/>
      <w:footerReference w:type="default" r:id="rId3"/>
      <w:type w:val="nextPage"/>
      <w:pgSz w:w="11906" w:h="16838"/>
      <w:pgMar w:left="1701" w:right="1134" w:header="720" w:top="1134" w:footer="72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Times New Roman">
    <w:charset w:val="01"/>
    <w:family w:val="roman"/>
    <w:pitch w:val="default"/>
  </w:font>
  <w:font w:name="DejaVu Sans Light">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rPr/>
    </w:pPr>
    <w:r>
      <w:rPr/>
    </w:r>
  </w:p>
</w:hdr>
</file>

<file path=word/settings.xml><?xml version="1.0" encoding="utf-8"?>
<w:settings xmlns:w="http://schemas.openxmlformats.org/wordprocessingml/2006/main">
  <w:zoom w:percent="90"/>
  <w:embedSystemFonts/>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99"/>
    <w:semiHidden/>
    <w:qFormat/>
    <w:rPr/>
  </w:style>
  <w:style w:type="character" w:styleId="HeaderChar" w:customStyle="1">
    <w:name w:val="Header Char"/>
    <w:basedOn w:val="DefaultParagraphFont"/>
    <w:link w:val="Header"/>
    <w:uiPriority w:val="99"/>
    <w:qFormat/>
    <w:locked/>
    <w:rsid w:val="004061c2"/>
    <w:rPr>
      <w:sz w:val="24"/>
      <w:lang w:val="ru-RU" w:eastAsia="ru-RU"/>
    </w:rPr>
  </w:style>
  <w:style w:type="character" w:styleId="FooterChar" w:customStyle="1">
    <w:name w:val="Footer Char"/>
    <w:basedOn w:val="DefaultParagraphFont"/>
    <w:link w:val="Footer"/>
    <w:uiPriority w:val="99"/>
    <w:qFormat/>
    <w:locked/>
    <w:rsid w:val="004061c2"/>
    <w:rPr>
      <w:sz w:val="24"/>
      <w:lang w:val="ru-RU" w:eastAsia="ru-RU"/>
    </w:rPr>
  </w:style>
  <w:style w:type="paragraph" w:styleId="Style14">
    <w:name w:val="Заголовок"/>
    <w:basedOn w:val="Normal"/>
    <w:next w:val="Style15"/>
    <w:qFormat/>
    <w:pPr>
      <w:keepNext w:val="true"/>
      <w:spacing w:before="240" w:after="120"/>
    </w:pPr>
    <w:rPr>
      <w:rFonts w:ascii="Liberation Sans" w:hAnsi="Liberation Sans" w:eastAsia="Unifont"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paragraph" w:styleId="Style19">
    <w:name w:val="Header"/>
    <w:basedOn w:val="Normal"/>
    <w:link w:val="HeaderChar"/>
    <w:uiPriority w:val="99"/>
    <w:unhideWhenUsed/>
    <w:rsid w:val="004061c2"/>
    <w:pPr>
      <w:tabs>
        <w:tab w:val="clear" w:pos="720"/>
        <w:tab w:val="center" w:pos="4844" w:leader="none"/>
        <w:tab w:val="right" w:pos="9689" w:leader="none"/>
      </w:tabs>
    </w:pPr>
    <w:rPr/>
  </w:style>
  <w:style w:type="paragraph" w:styleId="Style20">
    <w:name w:val="Footer"/>
    <w:basedOn w:val="Normal"/>
    <w:link w:val="FooterChar"/>
    <w:uiPriority w:val="99"/>
    <w:unhideWhenUsed/>
    <w:rsid w:val="004061c2"/>
    <w:pPr>
      <w:tabs>
        <w:tab w:val="clear" w:pos="720"/>
        <w:tab w:val="center" w:pos="4844" w:leader="none"/>
        <w:tab w:val="right" w:pos="9689"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Application>LibreOffice/6.1.5.2$Linux_X86_64 LibreOffice_project/10$Build-2</Application>
  <Pages>1</Pages>
  <Words>413</Words>
  <Characters>2244</Characters>
  <CharactersWithSpaces>2670</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2022-01-27T13:25:00Z</dcterms:created>
  <dc:creator/>
  <dc:description/>
  <dc:language>ru-RU</dc:language>
  <cp:lastModifiedBy/>
  <dcterms:modified xsi:type="dcterms:W3CDTF">2022-04-14T19:55:31Z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