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6C6" w:rsidRDefault="00153C44">
      <w:pPr>
        <w:widowControl w:val="0"/>
        <w:jc w:val="center"/>
      </w:pPr>
      <w:r>
        <w:rPr>
          <w:b/>
          <w:bCs/>
          <w:sz w:val="32"/>
          <w:szCs w:val="32"/>
          <w:lang w:val="en-US"/>
        </w:rPr>
        <w:t xml:space="preserve">Fission modes in </w:t>
      </w:r>
      <w:r>
        <w:rPr>
          <w:b/>
          <w:bCs/>
          <w:sz w:val="32"/>
          <w:szCs w:val="32"/>
          <w:vertAlign w:val="superscript"/>
          <w:lang w:val="en-US"/>
        </w:rPr>
        <w:t>238</w:t>
      </w:r>
      <w:r>
        <w:rPr>
          <w:b/>
          <w:bCs/>
          <w:sz w:val="32"/>
          <w:szCs w:val="32"/>
          <w:lang w:val="en-US"/>
        </w:rPr>
        <w:t xml:space="preserve">Np populated by </w:t>
      </w:r>
      <w:r>
        <w:rPr>
          <w:b/>
          <w:bCs/>
          <w:sz w:val="32"/>
          <w:szCs w:val="32"/>
          <w:vertAlign w:val="superscript"/>
          <w:lang w:val="en-US"/>
        </w:rPr>
        <w:t>6</w:t>
      </w:r>
      <w:r>
        <w:rPr>
          <w:b/>
          <w:bCs/>
          <w:sz w:val="32"/>
          <w:szCs w:val="32"/>
          <w:lang w:val="en-US"/>
        </w:rPr>
        <w:t>Li+</w:t>
      </w:r>
      <w:r>
        <w:rPr>
          <w:b/>
          <w:bCs/>
          <w:sz w:val="32"/>
          <w:szCs w:val="32"/>
          <w:vertAlign w:val="superscript"/>
          <w:lang w:val="en-US"/>
        </w:rPr>
        <w:t>232</w:t>
      </w:r>
      <w:r>
        <w:rPr>
          <w:b/>
          <w:bCs/>
          <w:sz w:val="32"/>
          <w:szCs w:val="32"/>
          <w:lang w:val="en-US"/>
        </w:rPr>
        <w:t>Th</w:t>
      </w:r>
    </w:p>
    <w:p w:rsidR="000176C6" w:rsidRDefault="000176C6">
      <w:pPr>
        <w:widowControl w:val="0"/>
        <w:jc w:val="center"/>
        <w:rPr>
          <w:lang w:val="en-US"/>
        </w:rPr>
      </w:pPr>
    </w:p>
    <w:p w:rsidR="000176C6" w:rsidRDefault="00153C44">
      <w:pPr>
        <w:widowControl w:val="0"/>
        <w:jc w:val="center"/>
      </w:pPr>
      <w:r>
        <w:rPr>
          <w:sz w:val="28"/>
          <w:szCs w:val="28"/>
          <w:lang w:val="en-US"/>
        </w:rPr>
        <w:t>TathagataBanerjee</w:t>
      </w:r>
      <w:r>
        <w:rPr>
          <w:sz w:val="28"/>
          <w:szCs w:val="28"/>
          <w:vertAlign w:val="superscript"/>
          <w:lang w:val="en-US"/>
        </w:rPr>
        <w:t>1</w:t>
      </w:r>
      <w:r>
        <w:rPr>
          <w:sz w:val="28"/>
          <w:szCs w:val="28"/>
          <w:lang w:val="en-US"/>
        </w:rPr>
        <w:t>, E. M. Kozulin</w:t>
      </w:r>
      <w:r>
        <w:rPr>
          <w:sz w:val="28"/>
          <w:szCs w:val="28"/>
          <w:vertAlign w:val="superscript"/>
          <w:lang w:val="en-US"/>
        </w:rPr>
        <w:t>1</w:t>
      </w:r>
      <w:r>
        <w:rPr>
          <w:sz w:val="28"/>
          <w:szCs w:val="28"/>
          <w:lang w:val="en-US"/>
        </w:rPr>
        <w:t>, I. M. Itkis</w:t>
      </w:r>
      <w:r>
        <w:rPr>
          <w:sz w:val="28"/>
          <w:szCs w:val="28"/>
          <w:vertAlign w:val="superscript"/>
          <w:lang w:val="en-US"/>
        </w:rPr>
        <w:t>1</w:t>
      </w:r>
      <w:r>
        <w:rPr>
          <w:sz w:val="28"/>
          <w:szCs w:val="28"/>
          <w:lang w:val="en-US"/>
        </w:rPr>
        <w:t>, G. N. Knyazheva</w:t>
      </w:r>
      <w:r>
        <w:rPr>
          <w:sz w:val="28"/>
          <w:szCs w:val="28"/>
          <w:vertAlign w:val="superscript"/>
          <w:lang w:val="en-US"/>
        </w:rPr>
        <w:t>1</w:t>
      </w:r>
    </w:p>
    <w:p w:rsidR="000176C6" w:rsidRDefault="00153C44">
      <w:pPr>
        <w:widowControl w:val="0"/>
        <w:jc w:val="center"/>
      </w:pPr>
      <w:r>
        <w:rPr>
          <w:i/>
          <w:iCs/>
          <w:vertAlign w:val="superscript"/>
          <w:lang w:val="en-US"/>
        </w:rPr>
        <w:t>1</w:t>
      </w:r>
      <w:r>
        <w:rPr>
          <w:i/>
          <w:iCs/>
          <w:lang w:val="en-US"/>
        </w:rPr>
        <w:t>Flerov Laboratory of Nuclear Reactions, Joint Institute for Nuclear Research, Dubna 141980, Russia</w:t>
      </w:r>
    </w:p>
    <w:p w:rsidR="000176C6" w:rsidRDefault="00153C44">
      <w:pPr>
        <w:widowControl w:val="0"/>
        <w:tabs>
          <w:tab w:val="center" w:pos="4536"/>
          <w:tab w:val="left" w:pos="6535"/>
        </w:tabs>
      </w:pPr>
      <w:r>
        <w:rPr>
          <w:lang w:val="en-US"/>
        </w:rPr>
        <w:tab/>
        <w:t>E-mail: he.tatha@gmail.com</w:t>
      </w:r>
      <w:r>
        <w:rPr>
          <w:lang w:val="en-US"/>
        </w:rPr>
        <w:tab/>
      </w:r>
    </w:p>
    <w:p w:rsidR="000176C6" w:rsidRDefault="000176C6">
      <w:pPr>
        <w:widowControl w:val="0"/>
        <w:jc w:val="center"/>
        <w:rPr>
          <w:lang w:val="en-US"/>
        </w:rPr>
      </w:pPr>
    </w:p>
    <w:p w:rsidR="000176C6" w:rsidRDefault="00153C44">
      <w:pPr>
        <w:widowControl w:val="0"/>
        <w:ind w:firstLine="340"/>
        <w:jc w:val="both"/>
      </w:pPr>
      <w:r>
        <w:rPr>
          <w:sz w:val="28"/>
          <w:szCs w:val="28"/>
          <w:lang w:val="en-US"/>
        </w:rPr>
        <w:t xml:space="preserve">The </w:t>
      </w:r>
      <w:r>
        <w:rPr>
          <w:sz w:val="28"/>
          <w:szCs w:val="28"/>
          <w:lang w:val="en-US"/>
        </w:rPr>
        <w:t xml:space="preserve">mass-total kinetic energy(M-TKED) of fission fragments of the reaction </w:t>
      </w:r>
      <w:r>
        <w:rPr>
          <w:sz w:val="28"/>
          <w:szCs w:val="28"/>
          <w:vertAlign w:val="superscript"/>
          <w:lang w:val="en-US"/>
        </w:rPr>
        <w:t>6</w:t>
      </w:r>
      <w:r>
        <w:rPr>
          <w:sz w:val="28"/>
          <w:szCs w:val="28"/>
          <w:lang w:val="en-US"/>
        </w:rPr>
        <w:t>Li+</w:t>
      </w:r>
      <w:r>
        <w:rPr>
          <w:sz w:val="28"/>
          <w:szCs w:val="28"/>
          <w:vertAlign w:val="superscript"/>
          <w:lang w:val="en-US"/>
        </w:rPr>
        <w:t>232</w:t>
      </w:r>
      <w:r>
        <w:rPr>
          <w:sz w:val="28"/>
          <w:szCs w:val="28"/>
          <w:lang w:val="en-US"/>
        </w:rPr>
        <w:t>Th were measured at two laboratory energies Elab = 28.5 and 40 MeV [1] using the CORSET set up at the Flerov Laboratory of Nuclear Reaction. The transfer induced fission and/or t</w:t>
      </w:r>
      <w:r>
        <w:rPr>
          <w:sz w:val="28"/>
          <w:szCs w:val="28"/>
          <w:lang w:val="en-US"/>
        </w:rPr>
        <w:t xml:space="preserve">he breakup of </w:t>
      </w:r>
      <w:r>
        <w:rPr>
          <w:sz w:val="28"/>
          <w:szCs w:val="28"/>
          <w:vertAlign w:val="superscript"/>
          <w:lang w:val="en-US"/>
        </w:rPr>
        <w:t>6</w:t>
      </w:r>
      <w:r>
        <w:rPr>
          <w:sz w:val="28"/>
          <w:szCs w:val="28"/>
          <w:lang w:val="en-US"/>
        </w:rPr>
        <w:t>Li mainly into α and d clusters contributes to the incomplete fusion in this reaction. The binary events within the gate of 180</w:t>
      </w:r>
      <w:r>
        <w:rPr>
          <w:sz w:val="28"/>
          <w:szCs w:val="28"/>
          <w:vertAlign w:val="superscript"/>
          <w:lang w:val="en-US"/>
        </w:rPr>
        <w:t>0</w:t>
      </w:r>
      <w:r>
        <w:rPr>
          <w:sz w:val="28"/>
          <w:szCs w:val="28"/>
          <w:lang w:val="en-US"/>
        </w:rPr>
        <w:t>±3.5</w:t>
      </w:r>
      <w:r>
        <w:rPr>
          <w:sz w:val="28"/>
          <w:szCs w:val="28"/>
          <w:vertAlign w:val="superscript"/>
          <w:lang w:val="en-US"/>
        </w:rPr>
        <w:t>0</w:t>
      </w:r>
      <w:r>
        <w:rPr>
          <w:sz w:val="28"/>
          <w:szCs w:val="28"/>
          <w:lang w:val="en-US"/>
        </w:rPr>
        <w:t xml:space="preserve"> in the fission fragment folding angle distribution have only been considered discarding the incomplete fusi</w:t>
      </w:r>
      <w:r>
        <w:rPr>
          <w:sz w:val="28"/>
          <w:szCs w:val="28"/>
          <w:lang w:val="en-US"/>
        </w:rPr>
        <w:t>on events, for multi-modal analysis.</w:t>
      </w:r>
    </w:p>
    <w:p w:rsidR="000176C6" w:rsidRDefault="000176C6">
      <w:pPr>
        <w:widowControl w:val="0"/>
        <w:ind w:firstLine="340"/>
        <w:jc w:val="both"/>
        <w:rPr>
          <w:sz w:val="28"/>
          <w:szCs w:val="28"/>
          <w:lang w:val="en-US"/>
        </w:rPr>
      </w:pPr>
    </w:p>
    <w:p w:rsidR="000176C6" w:rsidRDefault="00153C44" w:rsidP="00A022F2">
      <w:pPr>
        <w:pStyle w:val="Default"/>
        <w:ind w:firstLine="340"/>
        <w:jc w:val="both"/>
      </w:pPr>
      <w:r>
        <w:rPr>
          <w:sz w:val="28"/>
          <w:szCs w:val="28"/>
        </w:rPr>
        <w:t xml:space="preserve">Two dimensional M-TKEDs of the binary fragments of 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>Li+</w:t>
      </w:r>
      <w:r>
        <w:rPr>
          <w:sz w:val="28"/>
          <w:szCs w:val="28"/>
          <w:vertAlign w:val="superscript"/>
        </w:rPr>
        <w:t>232</w:t>
      </w:r>
      <w:r>
        <w:rPr>
          <w:sz w:val="28"/>
          <w:szCs w:val="28"/>
        </w:rPr>
        <w:t>Th, have been described by the multi-modal random neck rupture (MM-RNR) model [3].</w:t>
      </w:r>
      <w:r w:rsidR="00A022F2">
        <w:rPr>
          <w:sz w:val="28"/>
          <w:szCs w:val="28"/>
        </w:rPr>
        <w:t xml:space="preserve"> </w:t>
      </w:r>
      <w:r w:rsidR="00A65A14">
        <w:rPr>
          <w:sz w:val="28"/>
          <w:szCs w:val="28"/>
        </w:rPr>
        <w:t>Three modes were necessary to fit the data properly.</w:t>
      </w:r>
      <w:r>
        <w:rPr>
          <w:sz w:val="28"/>
          <w:szCs w:val="28"/>
        </w:rPr>
        <w:t xml:space="preserve"> Channel probabilities and the characteristics of different fission modes are </w:t>
      </w:r>
      <w:r>
        <w:rPr>
          <w:sz w:val="28"/>
          <w:szCs w:val="28"/>
        </w:rPr>
        <w:t xml:space="preserve">obtained and discussed. </w:t>
      </w:r>
      <w:r w:rsidR="00A65A14">
        <w:rPr>
          <w:sz w:val="28"/>
          <w:szCs w:val="28"/>
        </w:rPr>
        <w:t xml:space="preserve">The average kinetic energy &lt;TKE&gt; release in fission obtained from Viola systematic [4] matches well with that of the Standard 2 mode, but not with that of broad liquid drop like Superlong mode. This is associated with the decrease of the total kinetic energy associated with asymmetric fission with increasing excitation [5, 6] due to fading out of shell effects at high excitation energies. The slope of asymmetric to symmetric fission yields (when plotted against the excitation energy) of </w:t>
      </w:r>
      <w:r w:rsidR="00A65A14" w:rsidRPr="00A65A14">
        <w:rPr>
          <w:sz w:val="18"/>
          <w:szCs w:val="18"/>
          <w:vertAlign w:val="superscript"/>
        </w:rPr>
        <w:t>6</w:t>
      </w:r>
      <w:r w:rsidR="00A65A14">
        <w:rPr>
          <w:sz w:val="28"/>
          <w:szCs w:val="28"/>
        </w:rPr>
        <w:t>Li+</w:t>
      </w:r>
      <w:r w:rsidR="00A65A14" w:rsidRPr="00A65A14">
        <w:rPr>
          <w:sz w:val="18"/>
          <w:szCs w:val="18"/>
          <w:vertAlign w:val="superscript"/>
        </w:rPr>
        <w:t>232</w:t>
      </w:r>
      <w:r w:rsidR="00A65A14">
        <w:rPr>
          <w:sz w:val="28"/>
          <w:szCs w:val="28"/>
        </w:rPr>
        <w:t xml:space="preserve">Th is found to be similar to that of previously reported </w:t>
      </w:r>
      <w:r w:rsidR="00A65A14" w:rsidRPr="00A65A14">
        <w:rPr>
          <w:sz w:val="18"/>
          <w:szCs w:val="18"/>
          <w:vertAlign w:val="superscript"/>
        </w:rPr>
        <w:t>18</w:t>
      </w:r>
      <w:r w:rsidR="00A65A14">
        <w:rPr>
          <w:sz w:val="28"/>
          <w:szCs w:val="28"/>
        </w:rPr>
        <w:t>O+</w:t>
      </w:r>
      <w:r w:rsidR="00A65A14" w:rsidRPr="00A65A14">
        <w:rPr>
          <w:sz w:val="18"/>
          <w:szCs w:val="18"/>
          <w:vertAlign w:val="superscript"/>
        </w:rPr>
        <w:t>208</w:t>
      </w:r>
      <w:r w:rsidR="00A65A14">
        <w:rPr>
          <w:sz w:val="28"/>
          <w:szCs w:val="28"/>
        </w:rPr>
        <w:t>Pb.</w:t>
      </w:r>
    </w:p>
    <w:p w:rsidR="000176C6" w:rsidRDefault="000176C6">
      <w:pPr>
        <w:widowControl w:val="0"/>
        <w:ind w:firstLine="340"/>
        <w:jc w:val="both"/>
        <w:rPr>
          <w:sz w:val="28"/>
          <w:szCs w:val="28"/>
          <w:lang w:val="en-US"/>
        </w:rPr>
      </w:pPr>
    </w:p>
    <w:p w:rsidR="000176C6" w:rsidRDefault="00153C44">
      <w:pPr>
        <w:widowControl w:val="0"/>
        <w:ind w:left="340"/>
        <w:jc w:val="both"/>
      </w:pPr>
      <w:r>
        <w:rPr>
          <w:lang w:val="en-US"/>
        </w:rPr>
        <w:t>1. I. M. Itkis et al., Phys. Lett. B640, 23 (2006)..</w:t>
      </w:r>
    </w:p>
    <w:p w:rsidR="000176C6" w:rsidRDefault="00153C44">
      <w:pPr>
        <w:widowControl w:val="0"/>
        <w:ind w:left="340"/>
        <w:jc w:val="both"/>
      </w:pPr>
      <w:r>
        <w:rPr>
          <w:lang w:val="en-US"/>
        </w:rPr>
        <w:t>2. E. M. Kozulin et al., In</w:t>
      </w:r>
      <w:r>
        <w:rPr>
          <w:lang w:val="en-US"/>
        </w:rPr>
        <w:t>strum. Exp. Tech. 51, 44 (2008).</w:t>
      </w:r>
    </w:p>
    <w:p w:rsidR="000176C6" w:rsidRDefault="00153C44">
      <w:pPr>
        <w:widowControl w:val="0"/>
        <w:ind w:left="340"/>
        <w:jc w:val="both"/>
      </w:pPr>
      <w:r>
        <w:rPr>
          <w:lang w:val="en-US"/>
        </w:rPr>
        <w:t>3. U. Brosa, S. Grossmann and A. Müller, Phys. Rep. 197, 167 (1990).</w:t>
      </w:r>
    </w:p>
    <w:p w:rsidR="000176C6" w:rsidRDefault="00153C44">
      <w:pPr>
        <w:widowControl w:val="0"/>
        <w:ind w:left="340"/>
        <w:jc w:val="both"/>
      </w:pPr>
      <w:r>
        <w:rPr>
          <w:lang w:val="en-US"/>
        </w:rPr>
        <w:t>4. V. E. Viola Jr., Nucl. Data Sheets A1, 391 (1966); V. E. Viola, K. Kwiatkowski, and M. Walker, Phys. Rev. C 31, 1550 (1985).</w:t>
      </w:r>
    </w:p>
    <w:p w:rsidR="00A65A14" w:rsidRDefault="00153C44" w:rsidP="00A65A14">
      <w:pPr>
        <w:widowControl w:val="0"/>
        <w:ind w:left="340"/>
        <w:jc w:val="both"/>
        <w:rPr>
          <w:lang w:val="en-US"/>
        </w:rPr>
      </w:pPr>
      <w:r>
        <w:rPr>
          <w:lang w:val="en-US"/>
        </w:rPr>
        <w:t>5. A. Pica et al., Phys. R</w:t>
      </w:r>
      <w:r>
        <w:rPr>
          <w:lang w:val="en-US"/>
        </w:rPr>
        <w:t>ev. C 102, 064612 (2020).</w:t>
      </w:r>
    </w:p>
    <w:p w:rsidR="00A65A14" w:rsidRPr="00A65A14" w:rsidRDefault="00A65A14" w:rsidP="00A65A14">
      <w:pPr>
        <w:widowControl w:val="0"/>
        <w:ind w:left="340"/>
        <w:jc w:val="both"/>
        <w:rPr>
          <w:lang w:val="en-US"/>
        </w:rPr>
      </w:pPr>
      <w:r>
        <w:rPr>
          <w:lang w:val="en-US"/>
        </w:rPr>
        <w:t xml:space="preserve">6. </w:t>
      </w:r>
      <w:r>
        <w:rPr>
          <w:sz w:val="23"/>
          <w:szCs w:val="23"/>
        </w:rPr>
        <w:t>V. Yu. Denisov, I. Yu. Sedykh, Phys. Lett. B 824, 136814 (2022).</w:t>
      </w:r>
    </w:p>
    <w:p w:rsidR="000176C6" w:rsidRDefault="000176C6">
      <w:pPr>
        <w:widowControl w:val="0"/>
        <w:jc w:val="center"/>
      </w:pPr>
    </w:p>
    <w:sectPr w:rsidR="000176C6" w:rsidSect="000176C6">
      <w:headerReference w:type="default" r:id="rId6"/>
      <w:footerReference w:type="default" r:id="rId7"/>
      <w:pgSz w:w="11906" w:h="16838"/>
      <w:pgMar w:top="1134" w:right="1134" w:bottom="1134" w:left="1701" w:header="720" w:footer="720" w:gutter="0"/>
      <w:cols w:space="720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C44" w:rsidRDefault="00153C44" w:rsidP="000176C6">
      <w:r>
        <w:separator/>
      </w:r>
    </w:p>
  </w:endnote>
  <w:endnote w:type="continuationSeparator" w:id="1">
    <w:p w:rsidR="00153C44" w:rsidRDefault="00153C44" w:rsidP="00017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6C6" w:rsidRDefault="000176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C44" w:rsidRDefault="00153C44" w:rsidP="000176C6">
      <w:r>
        <w:separator/>
      </w:r>
    </w:p>
  </w:footnote>
  <w:footnote w:type="continuationSeparator" w:id="1">
    <w:p w:rsidR="00153C44" w:rsidRDefault="00153C44" w:rsidP="000176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6C6" w:rsidRDefault="000176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6C6"/>
    <w:rsid w:val="000176C6"/>
    <w:rsid w:val="00153C44"/>
    <w:rsid w:val="00A022F2"/>
    <w:rsid w:val="00A65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76C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4061C2"/>
    <w:rPr>
      <w:sz w:val="24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4061C2"/>
    <w:rPr>
      <w:sz w:val="24"/>
      <w:lang w:val="ru-RU" w:eastAsia="ru-RU"/>
    </w:rPr>
  </w:style>
  <w:style w:type="paragraph" w:customStyle="1" w:styleId="Heading">
    <w:name w:val="Heading"/>
    <w:basedOn w:val="Normal"/>
    <w:next w:val="BodyText"/>
    <w:qFormat/>
    <w:rsid w:val="000176C6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rsid w:val="000176C6"/>
    <w:pPr>
      <w:spacing w:after="140" w:line="288" w:lineRule="auto"/>
    </w:pPr>
  </w:style>
  <w:style w:type="paragraph" w:styleId="List">
    <w:name w:val="List"/>
    <w:basedOn w:val="BodyText"/>
    <w:rsid w:val="000176C6"/>
    <w:rPr>
      <w:rFonts w:cs="FreeSans"/>
    </w:rPr>
  </w:style>
  <w:style w:type="paragraph" w:styleId="Caption">
    <w:name w:val="caption"/>
    <w:basedOn w:val="Normal"/>
    <w:qFormat/>
    <w:rsid w:val="000176C6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rsid w:val="000176C6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4061C2"/>
    <w:pPr>
      <w:tabs>
        <w:tab w:val="center" w:pos="4844"/>
        <w:tab w:val="right" w:pos="9689"/>
      </w:tabs>
    </w:pPr>
  </w:style>
  <w:style w:type="paragraph" w:styleId="Footer">
    <w:name w:val="footer"/>
    <w:basedOn w:val="Normal"/>
    <w:link w:val="FooterChar"/>
    <w:uiPriority w:val="99"/>
    <w:unhideWhenUsed/>
    <w:rsid w:val="004061C2"/>
    <w:pPr>
      <w:tabs>
        <w:tab w:val="center" w:pos="4844"/>
        <w:tab w:val="right" w:pos="9689"/>
      </w:tabs>
    </w:pPr>
  </w:style>
  <w:style w:type="paragraph" w:customStyle="1" w:styleId="Default">
    <w:name w:val="Default"/>
    <w:rsid w:val="00A65A1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312</Words>
  <Characters>1780</Characters>
  <Application>Microsoft Office Word</Application>
  <DocSecurity>0</DocSecurity>
  <Lines>14</Lines>
  <Paragraphs>4</Paragraphs>
  <ScaleCrop>false</ScaleCrop>
  <Company>by adguard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HP</cp:lastModifiedBy>
  <cp:revision>13</cp:revision>
  <dcterms:created xsi:type="dcterms:W3CDTF">2022-01-27T13:25:00Z</dcterms:created>
  <dcterms:modified xsi:type="dcterms:W3CDTF">2022-03-30T18:56:00Z</dcterms:modified>
  <dc:language>en-AU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