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color w:val="000000"/>
          <w:sz w:val="32"/>
          <w:szCs w:val="32"/>
          <w:lang w:val="en-US" w:eastAsia="en-US"/>
        </w:rPr>
      </w:pPr>
      <w:r>
        <w:rPr>
          <w:b/>
          <w:bCs/>
          <w:color w:val="000000"/>
          <w:sz w:val="32"/>
          <w:szCs w:val="32"/>
          <w:lang w:val="en-US" w:eastAsia="en-US"/>
        </w:rPr>
      </w:r>
    </w:p>
    <w:p>
      <w:pPr>
        <w:pStyle w:val="Normal"/>
        <w:jc w:val="center"/>
        <w:rPr>
          <w:b/>
          <w:b/>
          <w:bCs/>
          <w:sz w:val="32"/>
          <w:szCs w:val="32"/>
          <w:lang w:val="en-US"/>
        </w:rPr>
      </w:pPr>
      <w:r>
        <w:rPr>
          <w:b/>
          <w:bCs/>
          <w:color w:val="000000"/>
          <w:sz w:val="32"/>
          <w:szCs w:val="32"/>
          <w:lang w:val="en-US" w:eastAsia="en-US"/>
        </w:rPr>
        <w:t>Theoretical study of antihydrogen formation reactions in the three body e</w:t>
      </w:r>
      <w:r>
        <w:rPr>
          <w:b/>
          <w:bCs/>
          <w:color w:val="000000"/>
          <w:sz w:val="32"/>
          <w:szCs w:val="32"/>
          <w:vertAlign w:val="superscript"/>
          <w:lang w:val="en-US" w:eastAsia="en-US"/>
        </w:rPr>
        <w:t>-</w:t>
      </w:r>
      <w:r>
        <w:rPr>
          <w:b/>
          <w:bCs/>
          <w:color w:val="000000"/>
          <w:sz w:val="32"/>
          <w:szCs w:val="32"/>
          <w:lang w:val="en-US" w:eastAsia="en-US"/>
        </w:rPr>
        <w:t>e</w:t>
      </w:r>
      <w:r>
        <w:rPr>
          <w:b/>
          <w:bCs/>
          <w:color w:val="000000"/>
          <w:sz w:val="32"/>
          <w:szCs w:val="32"/>
          <w:vertAlign w:val="superscript"/>
          <w:lang w:val="en-US" w:eastAsia="en-US"/>
        </w:rPr>
        <w:t>+</w:t>
      </w:r>
      <w:r>
        <w:rPr>
          <w:b/>
          <w:bCs/>
          <w:color w:val="000000"/>
          <w:sz w:val="32"/>
          <w:szCs w:val="32"/>
          <w:lang w:val="en-US" w:eastAsia="en-US"/>
        </w:rPr>
        <w:t>p̅  system via Faddeev-Merkuriev</w:t>
      </w:r>
    </w:p>
    <w:p>
      <w:pPr>
        <w:pStyle w:val="Normal"/>
        <w:jc w:val="center"/>
        <w:rPr>
          <w:b/>
          <w:b/>
          <w:bCs/>
          <w:sz w:val="32"/>
          <w:szCs w:val="32"/>
          <w:lang w:val="en-US"/>
        </w:rPr>
      </w:pPr>
      <w:r>
        <w:rPr>
          <w:b/>
          <w:bCs/>
          <w:color w:val="000000"/>
          <w:sz w:val="32"/>
          <w:szCs w:val="32"/>
          <w:lang w:val="en-US" w:eastAsia="en-US"/>
        </w:rPr>
        <w:t>equations in total orbital momentum representation</w:t>
      </w:r>
    </w:p>
    <w:p>
      <w:pPr>
        <w:pStyle w:val="Normal"/>
        <w:widowControl w:val="false"/>
        <w:jc w:val="center"/>
        <w:rPr>
          <w:lang w:val="en-US"/>
        </w:rPr>
      </w:pPr>
      <w:r>
        <w:rPr>
          <w:lang w:val="en-US"/>
        </w:rPr>
      </w:r>
    </w:p>
    <w:p>
      <w:pPr>
        <w:pStyle w:val="Normal"/>
        <w:widowControl w:val="false"/>
        <w:jc w:val="center"/>
        <w:rPr>
          <w:sz w:val="28"/>
          <w:szCs w:val="28"/>
          <w:lang w:val="en-US"/>
        </w:rPr>
      </w:pPr>
      <w:r>
        <w:rPr>
          <w:sz w:val="28"/>
          <w:szCs w:val="28"/>
          <w:lang w:val="en-US"/>
        </w:rPr>
        <w:t>V.A. Gradusov</w:t>
      </w:r>
      <w:r>
        <w:rPr>
          <w:sz w:val="28"/>
          <w:szCs w:val="28"/>
          <w:vertAlign w:val="superscript"/>
          <w:lang w:val="en-US"/>
        </w:rPr>
        <w:t>1</w:t>
      </w:r>
      <w:r>
        <w:rPr>
          <w:sz w:val="28"/>
          <w:szCs w:val="28"/>
          <w:lang w:val="en-US"/>
        </w:rPr>
        <w:t>, V.A. Roudnev</w:t>
      </w:r>
      <w:r>
        <w:rPr>
          <w:sz w:val="28"/>
          <w:szCs w:val="28"/>
          <w:vertAlign w:val="superscript"/>
          <w:lang w:val="en-US"/>
        </w:rPr>
        <w:t>1</w:t>
      </w:r>
      <w:r>
        <w:rPr>
          <w:sz w:val="28"/>
          <w:szCs w:val="28"/>
          <w:lang w:val="en-US"/>
        </w:rPr>
        <w:t>, E.A. Yarevsky</w:t>
      </w:r>
      <w:r>
        <w:rPr>
          <w:sz w:val="28"/>
          <w:szCs w:val="28"/>
          <w:vertAlign w:val="superscript"/>
          <w:lang w:val="en-US"/>
        </w:rPr>
        <w:t>1</w:t>
      </w:r>
      <w:r>
        <w:rPr>
          <w:sz w:val="28"/>
          <w:szCs w:val="28"/>
          <w:lang w:val="en-US"/>
        </w:rPr>
        <w:t>, S.L. Yakovlev</w:t>
      </w:r>
      <w:r>
        <w:rPr>
          <w:sz w:val="28"/>
          <w:szCs w:val="28"/>
          <w:vertAlign w:val="superscript"/>
          <w:lang w:val="en-US"/>
        </w:rPr>
        <w:t>1</w:t>
      </w:r>
    </w:p>
    <w:p>
      <w:pPr>
        <w:pStyle w:val="Normal"/>
        <w:widowControl w:val="false"/>
        <w:jc w:val="center"/>
        <w:rPr>
          <w:i/>
          <w:i/>
          <w:iCs/>
          <w:lang w:val="en-US"/>
        </w:rPr>
      </w:pPr>
      <w:r>
        <w:rPr>
          <w:i/>
          <w:iCs/>
          <w:vertAlign w:val="superscript"/>
          <w:lang w:val="en-US"/>
        </w:rPr>
        <w:t>1</w:t>
      </w:r>
      <w:r>
        <w:rPr>
          <w:i/>
          <w:iCs/>
          <w:lang w:val="en-US"/>
        </w:rPr>
        <w:t xml:space="preserve">St Petersburg State University, St Petersburg, Russia; </w:t>
      </w:r>
    </w:p>
    <w:p>
      <w:pPr>
        <w:pStyle w:val="Normal"/>
        <w:widowControl w:val="false"/>
        <w:tabs>
          <w:tab w:val="clear" w:pos="720"/>
          <w:tab w:val="center" w:pos="4536" w:leader="none"/>
          <w:tab w:val="left" w:pos="6535" w:leader="none"/>
        </w:tabs>
        <w:rPr>
          <w:lang w:val="en-US"/>
        </w:rPr>
      </w:pPr>
      <w:r>
        <w:rPr>
          <w:lang w:val="en-US"/>
        </w:rPr>
        <w:tab/>
        <w:t>E-mail: v</w:t>
      </w:r>
      <w:hyperlink r:id="rId2">
        <w:r>
          <w:rPr>
            <w:lang w:val="en-US"/>
          </w:rPr>
          <w:t>.gradusov@spbu.ru</w:t>
        </w:r>
      </w:hyperlink>
    </w:p>
    <w:p>
      <w:pPr>
        <w:pStyle w:val="Normal"/>
        <w:widowControl w:val="false"/>
        <w:tabs>
          <w:tab w:val="clear" w:pos="720"/>
          <w:tab w:val="center" w:pos="4536" w:leader="none"/>
          <w:tab w:val="left" w:pos="6535" w:leader="none"/>
        </w:tabs>
        <w:rPr>
          <w:lang w:val="en-US"/>
        </w:rPr>
      </w:pPr>
      <w:r>
        <w:rPr>
          <w:lang w:val="en-US"/>
        </w:rPr>
        <w:tab/>
      </w:r>
    </w:p>
    <w:p>
      <w:pPr>
        <w:pStyle w:val="Normal"/>
        <w:rPr>
          <w:color w:val="000000"/>
          <w:lang w:val="en-US" w:eastAsia="en-US"/>
        </w:rPr>
      </w:pPr>
      <w:r>
        <w:rPr>
          <w:color w:val="000000"/>
          <w:lang w:val="en-US" w:eastAsia="en-US"/>
        </w:rPr>
        <w:t>We present the results of calculations of low-energy reaction in the three body e</w:t>
      </w:r>
      <w:r>
        <w:rPr>
          <w:color w:val="000000"/>
          <w:vertAlign w:val="superscript"/>
          <w:lang w:val="en-US" w:eastAsia="en-US"/>
        </w:rPr>
        <w:t>-</w:t>
      </w:r>
      <w:r>
        <w:rPr>
          <w:color w:val="000000"/>
          <w:lang w:val="en-US" w:eastAsia="en-US"/>
        </w:rPr>
        <w:t>e</w:t>
      </w:r>
      <w:r>
        <w:rPr>
          <w:color w:val="000000"/>
          <w:vertAlign w:val="superscript"/>
          <w:lang w:val="en-US" w:eastAsia="en-US"/>
        </w:rPr>
        <w:t>+</w:t>
      </w:r>
      <w:r>
        <w:rPr>
          <w:color w:val="000000"/>
          <w:lang w:val="en-US" w:eastAsia="en-US"/>
        </w:rPr>
        <w:t xml:space="preserve">p̅ system with the emphasis on the process of the antihydrogen formation from the ground and excited states of the positronium. This reaction is important for some of the current antimatter experiments </w:t>
      </w:r>
      <w:r>
        <w:rPr>
          <w:color w:val="000000"/>
          <w:lang w:val="en-US" w:eastAsia="en-US"/>
        </w:rPr>
        <w:t>[1, 2]</w:t>
      </w:r>
      <w:r>
        <w:rPr>
          <w:color w:val="000000"/>
          <w:lang w:val="en-US" w:eastAsia="en-US"/>
        </w:rPr>
        <w:t>. The multi-channel scattering calculations are based on a new highly efficient method of solving the Faddeev-Merkuriev equations in total orbital momentum representation [</w:t>
      </w:r>
      <w:r>
        <w:rPr>
          <w:rFonts w:eastAsia="Times New Roman" w:cs="Times New Roman"/>
          <w:color w:val="000000"/>
          <w:kern w:val="0"/>
          <w:sz w:val="24"/>
          <w:szCs w:val="24"/>
          <w:lang w:val="en-US" w:eastAsia="en-US" w:bidi="ar-SA"/>
        </w:rPr>
        <w:t>3</w:t>
      </w:r>
      <w:r>
        <w:rPr>
          <w:color w:val="000000"/>
          <w:lang w:val="en-US" w:eastAsia="en-US"/>
        </w:rPr>
        <w:t>]. We discuss the effects that originate from the long-range dipole interaction between the excited atom and the spectator particle [</w:t>
      </w:r>
      <w:r>
        <w:rPr>
          <w:rFonts w:eastAsia="Times New Roman" w:cs="Times New Roman"/>
          <w:color w:val="000000"/>
          <w:kern w:val="0"/>
          <w:sz w:val="24"/>
          <w:szCs w:val="24"/>
          <w:lang w:val="en-US" w:eastAsia="en-US" w:bidi="ar-SA"/>
        </w:rPr>
        <w:t>4</w:t>
      </w:r>
      <w:r>
        <w:rPr>
          <w:color w:val="000000"/>
          <w:lang w:val="en-US" w:eastAsia="en-US"/>
        </w:rPr>
        <w:t xml:space="preserve">, </w:t>
      </w:r>
      <w:r>
        <w:rPr>
          <w:color w:val="000000"/>
          <w:sz w:val="24"/>
          <w:szCs w:val="24"/>
          <w:lang w:val="en-US" w:eastAsia="en-US"/>
        </w:rPr>
        <w:t>5</w:t>
      </w:r>
      <w:r>
        <w:rPr>
          <w:color w:val="000000"/>
          <w:lang w:val="en-US" w:eastAsia="en-US"/>
        </w:rPr>
        <w:t>]. Among them are the Gailtis-Damburg oscillations in the total and partial cross sections.</w:t>
      </w:r>
    </w:p>
    <w:p>
      <w:pPr>
        <w:pStyle w:val="Normal"/>
        <w:rPr>
          <w:rFonts w:ascii="Helvetica Neue" w:hAnsi="Helvetica Neue" w:cs="Helvetica Neue"/>
          <w:color w:val="000000"/>
          <w:sz w:val="20"/>
          <w:szCs w:val="20"/>
          <w:lang w:val="en-US" w:eastAsia="en-US"/>
        </w:rPr>
      </w:pPr>
      <w:r>
        <w:rPr>
          <w:rFonts w:cs="Helvetica Neue" w:ascii="Helvetica Neue" w:hAnsi="Helvetica Neue"/>
          <w:color w:val="000000"/>
          <w:sz w:val="20"/>
          <w:szCs w:val="20"/>
          <w:lang w:val="en-US" w:eastAsia="en-US"/>
        </w:rPr>
      </w:r>
    </w:p>
    <w:p>
      <w:pPr>
        <w:pStyle w:val="Normal"/>
        <w:rPr>
          <w:rFonts w:ascii="Helvetica Neue" w:hAnsi="Helvetica Neue" w:cs="Helvetica Neue"/>
          <w:color w:val="000000"/>
          <w:sz w:val="20"/>
          <w:szCs w:val="20"/>
          <w:lang w:val="en-US" w:eastAsia="en-US"/>
        </w:rPr>
      </w:pPr>
      <w:r>
        <w:rPr>
          <w:rFonts w:cs="Helvetica Neue" w:ascii="Helvetica Neue" w:hAnsi="Helvetica Neue"/>
          <w:color w:val="000000"/>
          <w:sz w:val="20"/>
          <w:szCs w:val="20"/>
          <w:lang w:val="en-US" w:eastAsia="en-US"/>
        </w:rPr>
      </w:r>
    </w:p>
    <w:p>
      <w:pPr>
        <w:pStyle w:val="Normal"/>
        <w:rPr>
          <w:rFonts w:ascii="Helvetica Neue" w:hAnsi="Helvetica Neue" w:cs="Helvetica Neue"/>
          <w:color w:val="000000"/>
          <w:sz w:val="20"/>
          <w:szCs w:val="20"/>
          <w:lang w:val="en-US" w:eastAsia="en-US"/>
        </w:rPr>
      </w:pPr>
      <w:r>
        <w:rPr>
          <w:rFonts w:cs="Helvetica Neue" w:ascii="Helvetica Neue" w:hAnsi="Helvetica Neue"/>
          <w:color w:val="000000"/>
          <w:sz w:val="20"/>
          <w:szCs w:val="20"/>
          <w:lang w:val="en-US" w:eastAsia="en-US"/>
        </w:rPr>
      </w:r>
    </w:p>
    <w:p>
      <w:pPr>
        <w:pStyle w:val="Normal"/>
        <w:ind w:left="426" w:hanging="426"/>
        <w:rPr>
          <w:color w:val="000000"/>
          <w:lang w:val="en-US" w:eastAsia="en-US"/>
        </w:rPr>
      </w:pPr>
      <w:r>
        <w:rPr>
          <w:color w:val="000000"/>
          <w:lang w:val="en-US" w:eastAsia="en-US"/>
        </w:rPr>
        <w:t xml:space="preserve">     </w:t>
      </w:r>
      <w:r>
        <w:rPr>
          <w:color w:val="000000"/>
          <w:lang w:val="en-US" w:eastAsia="en-US"/>
        </w:rPr>
        <w:t xml:space="preserve">1. G. Testera et al. (AEgIS Collab.), Hyperfine Interact. 233, </w:t>
      </w:r>
      <w:r>
        <w:rPr>
          <w:color w:val="000000"/>
          <w:lang w:val="en-US" w:eastAsia="en-US"/>
        </w:rPr>
        <w:t xml:space="preserve">No. </w:t>
      </w:r>
      <w:r>
        <w:rPr>
          <w:color w:val="000000"/>
          <w:lang w:val="en-US" w:eastAsia="en-US"/>
        </w:rPr>
        <w:t>1-3, 13 (2015).</w:t>
      </w:r>
    </w:p>
    <w:p>
      <w:pPr>
        <w:pStyle w:val="Normal"/>
        <w:ind w:left="426" w:hanging="426"/>
        <w:rPr>
          <w:color w:val="000000"/>
          <w:lang w:val="en-US" w:eastAsia="en-US"/>
        </w:rPr>
      </w:pPr>
      <w:r>
        <w:rPr>
          <w:color w:val="000000"/>
          <w:lang w:val="en-US" w:eastAsia="en-US"/>
        </w:rPr>
        <w:t xml:space="preserve">     </w:t>
      </w:r>
      <w:r>
        <w:rPr>
          <w:color w:val="000000"/>
          <w:lang w:val="en-US" w:eastAsia="en-US"/>
        </w:rPr>
        <w:t>2.</w:t>
      </w:r>
      <w:r>
        <w:rPr>
          <w:color w:val="000000"/>
          <w:lang w:val="en-US" w:eastAsia="en-US"/>
        </w:rPr>
        <w:t xml:space="preserve"> </w:t>
      </w:r>
      <w:r>
        <w:rPr>
          <w:rFonts w:ascii="Times New Roman" w:hAnsi="Times New Roman"/>
          <w:color w:val="000000"/>
          <w:sz w:val="24"/>
          <w:szCs w:val="24"/>
          <w:lang w:val="en-US" w:eastAsia="en-US"/>
        </w:rPr>
        <w:t xml:space="preserve">P. Pérez et al., </w:t>
      </w:r>
      <w:r>
        <w:rPr>
          <w:rFonts w:ascii="Times New Roman" w:hAnsi="Times New Roman"/>
          <w:color w:val="000000"/>
          <w:sz w:val="24"/>
          <w:szCs w:val="24"/>
          <w:lang w:val="en-US" w:eastAsia="en-US"/>
        </w:rPr>
        <w:t xml:space="preserve">Hyperfine Interact. 233, </w:t>
      </w:r>
      <w:r>
        <w:rPr>
          <w:rFonts w:ascii="Times New Roman" w:hAnsi="Times New Roman"/>
          <w:color w:val="000000"/>
          <w:sz w:val="24"/>
          <w:szCs w:val="24"/>
          <w:lang w:val="en-US" w:eastAsia="en-US"/>
        </w:rPr>
        <w:t xml:space="preserve">No. </w:t>
      </w:r>
      <w:r>
        <w:rPr>
          <w:rFonts w:ascii="Times New Roman" w:hAnsi="Times New Roman"/>
          <w:color w:val="000000"/>
          <w:sz w:val="24"/>
          <w:szCs w:val="24"/>
          <w:lang w:val="en-US" w:eastAsia="en-US"/>
        </w:rPr>
        <w:t xml:space="preserve">1-3, </w:t>
      </w:r>
      <w:r>
        <w:rPr>
          <w:rFonts w:eastAsia="Times New Roman" w:cs="Times New Roman" w:ascii="Times New Roman" w:hAnsi="Times New Roman"/>
          <w:color w:val="000000"/>
          <w:kern w:val="0"/>
          <w:sz w:val="24"/>
          <w:szCs w:val="24"/>
          <w:lang w:val="en-US" w:eastAsia="en-US" w:bidi="ar-SA"/>
        </w:rPr>
        <w:t>21</w:t>
      </w:r>
      <w:r>
        <w:rPr>
          <w:rFonts w:ascii="Times New Roman" w:hAnsi="Times New Roman"/>
          <w:color w:val="000000"/>
          <w:sz w:val="24"/>
          <w:szCs w:val="24"/>
          <w:lang w:val="en-US" w:eastAsia="en-US"/>
        </w:rPr>
        <w:t xml:space="preserve"> (2015).</w:t>
      </w:r>
    </w:p>
    <w:p>
      <w:pPr>
        <w:pStyle w:val="Normal"/>
        <w:ind w:left="426" w:hanging="426"/>
        <w:rPr>
          <w:color w:val="000000"/>
          <w:lang w:val="en-US" w:eastAsia="en-US"/>
        </w:rPr>
      </w:pPr>
      <w:r>
        <w:rPr>
          <w:color w:val="000000"/>
          <w:sz w:val="24"/>
          <w:szCs w:val="24"/>
          <w:lang w:val="en-US" w:eastAsia="en-US"/>
        </w:rPr>
        <w:t xml:space="preserve">     </w:t>
      </w:r>
      <w:r>
        <w:rPr>
          <w:color w:val="000000"/>
          <w:sz w:val="24"/>
          <w:szCs w:val="24"/>
          <w:lang w:val="en-US" w:eastAsia="en-US"/>
        </w:rPr>
        <w:t>3</w:t>
      </w:r>
      <w:r>
        <w:rPr>
          <w:color w:val="000000"/>
          <w:lang w:val="en-US" w:eastAsia="en-US"/>
        </w:rPr>
        <w:t>. V.A. Gradusov et al., Commun. Comput. Phys. 30, No. 1, 255 (2021).</w:t>
      </w:r>
    </w:p>
    <w:p>
      <w:pPr>
        <w:pStyle w:val="Normal"/>
        <w:ind w:left="426" w:hanging="426"/>
        <w:rPr>
          <w:color w:val="000000"/>
          <w:lang w:val="en-US" w:eastAsia="en-US"/>
        </w:rPr>
      </w:pPr>
      <w:r>
        <w:rPr>
          <w:color w:val="000000"/>
          <w:lang w:val="en-US" w:eastAsia="en-US"/>
        </w:rPr>
        <w:t xml:space="preserve">     </w:t>
      </w:r>
      <w:r>
        <w:rPr>
          <w:color w:val="000000"/>
          <w:sz w:val="24"/>
          <w:szCs w:val="24"/>
          <w:lang w:val="en-US" w:eastAsia="en-US"/>
        </w:rPr>
        <w:t>4</w:t>
      </w:r>
      <w:r>
        <w:rPr>
          <w:color w:val="000000"/>
          <w:lang w:val="en-US" w:eastAsia="en-US"/>
        </w:rPr>
        <w:t xml:space="preserve">. M. Gailitis, J. Phys. B: Atom. Mol. Phys. 9, 843 (1976). </w:t>
      </w:r>
    </w:p>
    <w:p>
      <w:pPr>
        <w:pStyle w:val="Normal"/>
        <w:widowControl w:val="false"/>
        <w:ind w:hanging="0"/>
        <w:jc w:val="both"/>
        <w:rPr>
          <w:color w:val="FF0000"/>
          <w:lang w:val="en-US"/>
        </w:rPr>
      </w:pPr>
      <w:r>
        <w:rPr>
          <w:color w:val="000000"/>
          <w:lang w:val="en-US" w:eastAsia="en-US"/>
        </w:rPr>
        <w:t xml:space="preserve">     </w:t>
      </w:r>
      <w:r>
        <w:rPr>
          <w:color w:val="000000"/>
          <w:sz w:val="24"/>
          <w:szCs w:val="24"/>
          <w:lang w:val="en-US" w:eastAsia="en-US"/>
        </w:rPr>
        <w:t>5</w:t>
      </w:r>
      <w:r>
        <w:rPr>
          <w:color w:val="000000"/>
          <w:lang w:val="en-US" w:eastAsia="en-US"/>
        </w:rPr>
        <w:t>. M. Gailitis and R. Damburg, Sov. Phys. JETP 17, No. 5, 1107 (1963).</w:t>
      </w:r>
    </w:p>
    <w:p>
      <w:pPr>
        <w:pStyle w:val="Normal"/>
        <w:widowControl w:val="false"/>
        <w:jc w:val="center"/>
        <w:rPr>
          <w:color w:val="FF0000"/>
          <w:lang w:val="en-US"/>
        </w:rPr>
      </w:pPr>
      <w:r>
        <w:rPr/>
      </w:r>
    </w:p>
    <w:sectPr>
      <w:headerReference w:type="default" r:id="rId3"/>
      <w:footerReference w:type="default" r:id="rId4"/>
      <w:type w:val="nextPage"/>
      <w:pgSz w:w="11906" w:h="16838"/>
      <w:pgMar w:left="1701" w:right="1134" w:header="720" w:top="1134"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Helvetica Neue">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hdr>
</file>

<file path=word/settings.xml><?xml version="1.0" encoding="utf-8"?>
<w:settings xmlns:w="http://schemas.openxmlformats.org/wordprocessingml/2006/main">
  <w:zoom w:percent="125"/>
  <w:embedSystemFonts/>
  <w:defaultTabStop w:val="720"/>
  <w:autoHyphenation w:val="true"/>
  <w:doNotHyphenateCaps/>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c42a1"/>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locked/>
    <w:rsid w:val="004061c2"/>
    <w:rPr>
      <w:sz w:val="24"/>
      <w:lang w:val="ru-RU" w:eastAsia="ru-RU"/>
    </w:rPr>
  </w:style>
  <w:style w:type="character" w:styleId="Style15" w:customStyle="1">
    <w:name w:val="Нижний колонтитул Знак"/>
    <w:basedOn w:val="DefaultParagraphFont"/>
    <w:uiPriority w:val="99"/>
    <w:qFormat/>
    <w:locked/>
    <w:rsid w:val="004061c2"/>
    <w:rPr>
      <w:sz w:val="24"/>
      <w:lang w:val="ru-RU" w:eastAsia="ru-RU"/>
    </w:rPr>
  </w:style>
  <w:style w:type="character" w:styleId="Style16" w:customStyle="1">
    <w:name w:val="Интернет-ссылка"/>
    <w:basedOn w:val="DefaultParagraphFont"/>
    <w:uiPriority w:val="99"/>
    <w:unhideWhenUsed/>
    <w:rsid w:val="004c42a1"/>
    <w:rPr>
      <w:color w:val="0563C1" w:themeColor="hyperlink"/>
      <w:u w:val="single"/>
    </w:rPr>
  </w:style>
  <w:style w:type="character" w:styleId="UnresolvedMention">
    <w:name w:val="Unresolved Mention"/>
    <w:basedOn w:val="DefaultParagraphFont"/>
    <w:uiPriority w:val="99"/>
    <w:qFormat/>
    <w:rsid w:val="004c42a1"/>
    <w:rPr>
      <w:color w:val="605E5C"/>
      <w:shd w:fill="E1DFDD" w:val="clear"/>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Style22">
    <w:name w:val="Title"/>
    <w:basedOn w:val="Normal"/>
    <w:next w:val="Style18"/>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rPr>
  </w:style>
  <w:style w:type="paragraph" w:styleId="Indexheading">
    <w:name w:val="index heading"/>
    <w:basedOn w:val="Normal"/>
    <w:qFormat/>
    <w:pPr>
      <w:suppressLineNumbers/>
    </w:pPr>
    <w:rPr>
      <w:rFonts w:cs="Mangal"/>
    </w:rPr>
  </w:style>
  <w:style w:type="paragraph" w:styleId="Style23" w:customStyle="1">
    <w:name w:val="Верхний и нижний колонтитулы"/>
    <w:basedOn w:val="Normal"/>
    <w:qFormat/>
    <w:pPr/>
    <w:rPr/>
  </w:style>
  <w:style w:type="paragraph" w:styleId="Style24">
    <w:name w:val="Header"/>
    <w:basedOn w:val="Normal"/>
    <w:uiPriority w:val="99"/>
    <w:unhideWhenUsed/>
    <w:rsid w:val="004061c2"/>
    <w:pPr>
      <w:tabs>
        <w:tab w:val="clear" w:pos="720"/>
        <w:tab w:val="center" w:pos="4844" w:leader="none"/>
        <w:tab w:val="right" w:pos="9689" w:leader="none"/>
      </w:tabs>
    </w:pPr>
    <w:rPr/>
  </w:style>
  <w:style w:type="paragraph" w:styleId="Style25">
    <w:name w:val="Footer"/>
    <w:basedOn w:val="Normal"/>
    <w:uiPriority w:val="99"/>
    <w:unhideWhenUsed/>
    <w:rsid w:val="004061c2"/>
    <w:pPr>
      <w:tabs>
        <w:tab w:val="clear" w:pos="720"/>
        <w:tab w:val="center" w:pos="4844" w:leader="none"/>
        <w:tab w:val="right" w:pos="9689"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yakovlev@spbu.ru"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Application>LibreOffice/6.4.4.2$Windows_X86_64 LibreOffice_project/3d775be2011f3886db32dfd395a6a6d1ca2630ff</Application>
  <Pages>1</Pages>
  <Words>206</Words>
  <Characters>1139</Characters>
  <CharactersWithSpaces>1364</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2022-03-23T11:53:00Z</dcterms:created>
  <dc:creator/>
  <dc:description/>
  <dc:language>ru-RU</dc:language>
  <cp:lastModifiedBy/>
  <dcterms:modified xsi:type="dcterms:W3CDTF">2022-03-31T14:29:42Z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